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keepNext/>
        <w:keepLines/>
        <w:tabs>
          <w:tab w:val="left" w:pos="6669"/>
        </w:tabs>
        <w:autoSpaceDE w:val="0"/>
        <w:autoSpaceDN w:val="0"/>
        <w:adjustRightInd w:val="0"/>
        <w:spacing w:beforeLines="0" w:afterLines="0"/>
        <w:ind w:left="198"/>
        <w:jc w:val="center"/>
        <w:rPr>
          <w:rFonts w:hint="eastAsia" w:ascii="方正小标宋简体" w:hAnsi="方正小标宋简体" w:eastAsia="方正小标宋简体" w:cs="Times New Roman"/>
          <w:color w:val="auto"/>
          <w:kern w:val="2"/>
          <w:sz w:val="44"/>
          <w:szCs w:val="22"/>
          <w:lang w:eastAsia="zh-CN"/>
        </w:rPr>
      </w:pPr>
      <w:r>
        <w:rPr>
          <w:rFonts w:hint="eastAsia" w:ascii="方正小标宋简体" w:hAnsi="方正小标宋简体" w:eastAsia="方正小标宋简体" w:cs="Times New Roman"/>
          <w:color w:val="auto"/>
          <w:kern w:val="2"/>
          <w:sz w:val="44"/>
          <w:szCs w:val="22"/>
        </w:rPr>
        <w:t>202</w:t>
      </w:r>
      <w:r>
        <w:rPr>
          <w:rFonts w:hint="eastAsia" w:ascii="方正小标宋简体" w:hAnsi="方正小标宋简体" w:eastAsia="方正小标宋简体" w:cs="Times New Roman"/>
          <w:color w:val="auto"/>
          <w:kern w:val="2"/>
          <w:sz w:val="44"/>
          <w:szCs w:val="22"/>
          <w:lang w:val="en-US" w:eastAsia="zh-CN"/>
        </w:rPr>
        <w:t>4</w:t>
      </w:r>
      <w:r>
        <w:rPr>
          <w:rFonts w:hint="eastAsia" w:ascii="方正小标宋简体" w:hAnsi="方正小标宋简体" w:eastAsia="方正小标宋简体" w:cs="Times New Roman"/>
          <w:color w:val="auto"/>
          <w:kern w:val="2"/>
          <w:sz w:val="44"/>
          <w:szCs w:val="22"/>
        </w:rPr>
        <w:t>年度内蒙古自治区鄂尔多斯空港物流园区管理委员会公开</w:t>
      </w:r>
      <w:r>
        <w:rPr>
          <w:rFonts w:hint="eastAsia" w:ascii="方正小标宋简体" w:hAnsi="方正小标宋简体" w:eastAsia="方正小标宋简体" w:cs="Times New Roman"/>
          <w:color w:val="auto"/>
          <w:kern w:val="2"/>
          <w:sz w:val="44"/>
          <w:szCs w:val="22"/>
          <w:lang w:val="en-US" w:eastAsia="zh-CN"/>
        </w:rPr>
        <w:t>报告</w:t>
      </w: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ind w:firstLine="2240" w:firstLineChars="700"/>
        <w:jc w:val="left"/>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单位名称：内蒙古自治区鄂尔多斯空港物流园区管理</w:t>
      </w:r>
    </w:p>
    <w:p>
      <w:pPr>
        <w:spacing w:line="360" w:lineRule="auto"/>
        <w:ind w:firstLine="3840" w:firstLineChars="1200"/>
        <w:jc w:val="left"/>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委员会</w:t>
      </w:r>
    </w:p>
    <w:p>
      <w:pPr>
        <w:spacing w:line="360" w:lineRule="auto"/>
        <w:ind w:firstLine="2240" w:firstLineChars="700"/>
        <w:jc w:val="left"/>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rPr>
        <w:t>单位负责人：</w:t>
      </w:r>
      <w:r>
        <w:rPr>
          <w:rFonts w:hint="eastAsia" w:ascii="仿宋_GB2312" w:hAnsi="仿宋_GB2312" w:eastAsia="仿宋_GB2312" w:cs="仿宋_GB2312"/>
          <w:color w:val="000000" w:themeColor="text1"/>
          <w:sz w:val="32"/>
          <w:szCs w:val="32"/>
          <w:lang w:val="en-US" w:eastAsia="zh-CN"/>
        </w:rPr>
        <w:t>丁向明</w:t>
      </w:r>
    </w:p>
    <w:p>
      <w:pPr>
        <w:spacing w:line="360" w:lineRule="auto"/>
        <w:ind w:firstLine="2240" w:firstLineChars="700"/>
        <w:jc w:val="left"/>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财务负责人：辛鹏飞</w:t>
      </w:r>
    </w:p>
    <w:p>
      <w:pPr>
        <w:spacing w:line="360" w:lineRule="auto"/>
        <w:ind w:firstLine="2240" w:firstLineChars="700"/>
        <w:jc w:val="left"/>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编制人：张宏斌</w:t>
      </w:r>
    </w:p>
    <w:p>
      <w:pPr>
        <w:spacing w:line="360" w:lineRule="auto"/>
        <w:ind w:firstLine="2240" w:firstLineChars="700"/>
        <w:jc w:val="left"/>
        <w:rPr>
          <w:rFonts w:hint="eastAsia" w:ascii="仿宋_GB2312" w:hAnsi="仿宋_GB2312" w:eastAsia="仿宋_GB2312" w:cs="仿宋_GB2312"/>
          <w:color w:val="000000" w:themeColor="text1"/>
          <w:sz w:val="32"/>
          <w:szCs w:val="32"/>
        </w:rPr>
        <w:sectPr>
          <w:footerReference r:id="rId3" w:type="default"/>
          <w:pgSz w:w="11906" w:h="16838"/>
          <w:pgMar w:top="1440" w:right="1083" w:bottom="1440" w:left="1083" w:header="0" w:footer="720" w:gutter="0"/>
          <w:cols w:space="425" w:num="1"/>
          <w:docGrid w:type="lines" w:linePitch="312" w:charSpace="0"/>
        </w:sectPr>
      </w:pPr>
      <w:r>
        <w:rPr>
          <w:rFonts w:hint="eastAsia" w:ascii="仿宋_GB2312" w:hAnsi="仿宋_GB2312" w:eastAsia="仿宋_GB2312" w:cs="仿宋_GB2312"/>
          <w:color w:val="000000" w:themeColor="text1"/>
          <w:sz w:val="32"/>
          <w:szCs w:val="32"/>
        </w:rPr>
        <w:t>报送日期：202</w:t>
      </w:r>
      <w:r>
        <w:rPr>
          <w:rFonts w:hint="eastAsia" w:ascii="仿宋_GB2312" w:hAnsi="仿宋_GB2312" w:eastAsia="仿宋_GB2312" w:cs="仿宋_GB2312"/>
          <w:color w:val="000000" w:themeColor="text1"/>
          <w:sz w:val="32"/>
          <w:szCs w:val="32"/>
          <w:lang w:val="en-US" w:eastAsia="zh-CN"/>
        </w:rPr>
        <w:t>5</w:t>
      </w:r>
      <w:r>
        <w:rPr>
          <w:rFonts w:hint="eastAsia" w:ascii="仿宋_GB2312" w:hAnsi="仿宋_GB2312" w:eastAsia="仿宋_GB2312" w:cs="仿宋_GB2312"/>
          <w:color w:val="000000" w:themeColor="text1"/>
          <w:sz w:val="32"/>
          <w:szCs w:val="32"/>
        </w:rPr>
        <w:t>年9月</w:t>
      </w:r>
    </w:p>
    <w:p>
      <w:pPr>
        <w:widowControl/>
        <w:spacing w:after="240"/>
        <w:jc w:val="center"/>
        <w:rPr>
          <w:rFonts w:hint="eastAsia" w:ascii="方正小标宋简体" w:hAnsi="方正小标宋简体" w:eastAsia="方正小标宋简体" w:cs="方正小标宋简体"/>
          <w:b w:val="0"/>
          <w:bCs w:val="0"/>
          <w:kern w:val="0"/>
          <w:sz w:val="44"/>
          <w:szCs w:val="44"/>
        </w:rPr>
      </w:pPr>
      <w:bookmarkStart w:id="0" w:name="a000"/>
      <w:r>
        <w:rPr>
          <w:rFonts w:hint="eastAsia" w:ascii="方正小标宋简体" w:hAnsi="方正小标宋简体" w:eastAsia="方正小标宋简体" w:cs="方正小标宋简体"/>
          <w:b w:val="0"/>
          <w:bCs w:val="0"/>
          <w:kern w:val="0"/>
          <w:sz w:val="44"/>
          <w:szCs w:val="44"/>
        </w:rPr>
        <w:t>目 录</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黑体" w:hAnsi="黑体" w:eastAsia="黑体" w:cs="黑体"/>
          <w:kern w:val="0"/>
          <w:sz w:val="32"/>
          <w:szCs w:val="32"/>
        </w:rPr>
      </w:pPr>
      <w:r>
        <w:rPr>
          <w:rFonts w:hint="eastAsia" w:ascii="黑体" w:hAnsi="黑体" w:eastAsia="黑体" w:cs="黑体"/>
          <w:kern w:val="0"/>
          <w:sz w:val="32"/>
          <w:szCs w:val="32"/>
        </w:rPr>
        <w:t>第一部分 单位概况</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一、主要职能、职责</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二、单位机构设置及决算单位构成情况</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三、202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年度单位主要工作完成情况</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黑体" w:hAnsi="黑体" w:eastAsia="黑体" w:cs="黑体"/>
          <w:kern w:val="0"/>
          <w:sz w:val="32"/>
          <w:szCs w:val="32"/>
        </w:rPr>
      </w:pPr>
      <w:r>
        <w:rPr>
          <w:rFonts w:hint="eastAsia" w:ascii="黑体" w:hAnsi="黑体" w:eastAsia="黑体" w:cs="黑体"/>
          <w:kern w:val="0"/>
          <w:sz w:val="32"/>
          <w:szCs w:val="32"/>
        </w:rPr>
        <w:t>第二部分 单位决算情况说明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一、收入支出决算总体情况说明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二、收入决算情况说明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四、财政拨款收入支出决算总体情况说明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五、一般公共预算财政拨款支出决算情况说明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六、一般公共预算财政拨款基本支出决算情况说明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七、一般公共预算财政拨款项目支出决算情况说明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八、财政拨款“三公”经费支出决算情况说明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九、政府性基金预算财政拨款支出决算情况说明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十、国有资本经营预算财政拨款支出决算情况说明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十一、机构运行经费支出决算情况说明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十二、政府采购支出决算情况说明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十三、国有资产占用情况说明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十四、预算绩效情况说明</w:t>
      </w:r>
    </w:p>
    <w:p>
      <w:pPr>
        <w:widowControl/>
        <w:spacing w:before="240" w:after="240"/>
        <w:jc w:val="left"/>
        <w:rPr>
          <w:rFonts w:ascii="Times New Roman" w:hAnsi="Times New Roman" w:eastAsia="Times New Roman" w:cs="Times New Roman"/>
          <w:kern w:val="0"/>
          <w:sz w:val="24"/>
        </w:rPr>
      </w:pPr>
      <w:r>
        <w:rPr>
          <w:rFonts w:hint="eastAsia" w:ascii="黑体" w:hAnsi="黑体" w:eastAsia="黑体" w:cs="黑体"/>
          <w:kern w:val="0"/>
          <w:sz w:val="32"/>
          <w:szCs w:val="32"/>
        </w:rPr>
        <w:t>第三部分 名词解释</w:t>
      </w:r>
    </w:p>
    <w:p>
      <w:pPr>
        <w:widowControl/>
        <w:spacing w:before="240" w:after="240"/>
        <w:jc w:val="left"/>
        <w:rPr>
          <w:rFonts w:hint="eastAsia" w:ascii="黑体" w:hAnsi="黑体" w:eastAsia="黑体" w:cs="黑体"/>
          <w:kern w:val="0"/>
          <w:sz w:val="32"/>
          <w:szCs w:val="32"/>
        </w:rPr>
      </w:pPr>
      <w:r>
        <w:rPr>
          <w:rFonts w:hint="eastAsia" w:ascii="黑体" w:hAnsi="黑体" w:eastAsia="黑体" w:cs="黑体"/>
          <w:kern w:val="0"/>
          <w:sz w:val="32"/>
          <w:szCs w:val="32"/>
        </w:rPr>
        <w:t>第四部分 决算公开联系方式及信息反馈渠道</w:t>
      </w:r>
    </w:p>
    <w:p>
      <w:pPr>
        <w:widowControl/>
        <w:spacing w:before="240" w:after="240"/>
        <w:jc w:val="left"/>
        <w:rPr>
          <w:rFonts w:hint="eastAsia" w:ascii="黑体" w:hAnsi="黑体" w:eastAsia="黑体" w:cs="黑体"/>
          <w:kern w:val="0"/>
          <w:sz w:val="32"/>
          <w:szCs w:val="32"/>
        </w:rPr>
      </w:pPr>
      <w:r>
        <w:rPr>
          <w:rFonts w:hint="eastAsia" w:ascii="黑体" w:hAnsi="黑体" w:eastAsia="黑体" w:cs="黑体"/>
          <w:kern w:val="0"/>
          <w:sz w:val="32"/>
          <w:szCs w:val="32"/>
        </w:rPr>
        <w:t>第五部分 单位决算表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一、收入支出决算总表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二、收入决算表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三、支出决算表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四、财政拨款收入支出决算总表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五、一般公共预算财政拨款支出决算表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六、一般公共预算财政拨款基本支出决算明细表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七、一般公共预算财政拨款项目支出决算明细表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八、政府性基金预算财政拨款收入支出决算表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九、国有资本经营预算财政拨款支出决算表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十、财政拨款“三公”经费支出决算表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ascii="Times New Roman" w:hAnsi="Times New Roman" w:eastAsia="Times New Roman" w:cs="Times New Roman"/>
          <w:kern w:val="0"/>
          <w:sz w:val="72"/>
          <w:szCs w:val="72"/>
        </w:rPr>
      </w:pPr>
      <w:r>
        <w:rPr>
          <w:rFonts w:hint="eastAsia" w:ascii="仿宋_GB2312" w:hAnsi="仿宋_GB2312" w:eastAsia="仿宋_GB2312" w:cs="仿宋_GB2312"/>
          <w:kern w:val="0"/>
          <w:sz w:val="32"/>
          <w:szCs w:val="32"/>
        </w:rPr>
        <w:t>十一、机构运行经费支出、国有资产占用情况及政府采购支出信息表</w:t>
      </w:r>
    </w:p>
    <w:p>
      <w:pPr>
        <w:pageBreakBefore w:val="0"/>
        <w:widowControl/>
        <w:kinsoku/>
        <w:wordWrap/>
        <w:overflowPunct/>
        <w:topLinePunct w:val="0"/>
        <w:autoSpaceDE/>
        <w:autoSpaceDN/>
        <w:bidi w:val="0"/>
        <w:adjustRightInd/>
        <w:snapToGrid/>
        <w:spacing w:before="240" w:after="240" w:line="520" w:lineRule="exact"/>
        <w:ind w:firstLine="440" w:firstLineChars="100"/>
        <w:jc w:val="center"/>
        <w:rPr>
          <w:rFonts w:hint="eastAsia" w:ascii="方正小标宋简体" w:hAnsi="方正小标宋简体" w:eastAsia="方正小标宋简体" w:cs="方正小标宋简体"/>
          <w:b w:val="0"/>
          <w:bCs w:val="0"/>
          <w:color w:val="000000"/>
          <w:kern w:val="0"/>
          <w:sz w:val="44"/>
          <w:szCs w:val="44"/>
        </w:rPr>
      </w:pPr>
      <w:r>
        <w:rPr>
          <w:rFonts w:hint="eastAsia" w:ascii="方正小标宋简体" w:hAnsi="方正小标宋简体" w:eastAsia="方正小标宋简体" w:cs="方正小标宋简体"/>
          <w:b w:val="0"/>
          <w:bCs w:val="0"/>
          <w:color w:val="000000"/>
          <w:kern w:val="0"/>
          <w:sz w:val="44"/>
          <w:szCs w:val="44"/>
        </w:rPr>
        <w:t>第一部分 单位概况</w:t>
      </w:r>
    </w:p>
    <w:p>
      <w:pPr>
        <w:widowControl/>
        <w:spacing w:before="240" w:after="240"/>
        <w:jc w:val="left"/>
        <w:rPr>
          <w:rFonts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val="0"/>
          <w:bCs w:val="0"/>
          <w:kern w:val="0"/>
          <w:sz w:val="32"/>
          <w:szCs w:val="32"/>
        </w:rPr>
        <w:t xml:space="preserve"> 一、主要职能、职责</w:t>
      </w:r>
    </w:p>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一</w:t>
      </w:r>
      <w:r>
        <w:rPr>
          <w:rFonts w:hint="eastAsia" w:ascii="仿宋_GB2312" w:hAnsi="仿宋_GB2312" w:eastAsia="仿宋_GB2312" w:cs="仿宋_GB2312"/>
          <w:kern w:val="0"/>
          <w:sz w:val="32"/>
          <w:szCs w:val="32"/>
        </w:rPr>
        <w:t>）负责园区党的建设、党风廉政建设、意识形态、精神文明建设、统一战线、群团等工作。</w:t>
      </w:r>
    </w:p>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二</w:t>
      </w:r>
      <w:r>
        <w:rPr>
          <w:rFonts w:hint="eastAsia" w:ascii="仿宋_GB2312" w:hAnsi="仿宋_GB2312" w:eastAsia="仿宋_GB2312" w:cs="仿宋_GB2312"/>
          <w:kern w:val="0"/>
          <w:sz w:val="32"/>
          <w:szCs w:val="32"/>
        </w:rPr>
        <w:t>）根据鄂尔多斯市的总体发展规划和政策措施，制订实施园区总体规划、经济发展规划、产业发展规划、财政发展计划、产业政策等。</w:t>
      </w:r>
    </w:p>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三</w:t>
      </w:r>
      <w:r>
        <w:rPr>
          <w:rFonts w:hint="eastAsia" w:ascii="仿宋_GB2312" w:hAnsi="仿宋_GB2312" w:eastAsia="仿宋_GB2312" w:cs="仿宋_GB2312"/>
          <w:kern w:val="0"/>
          <w:sz w:val="32"/>
          <w:szCs w:val="32"/>
        </w:rPr>
        <w:t>）统筹推进园区经济发展、项目建设、招商引资和入区企业服务管理、政务服务、优化营商环境等工作。</w:t>
      </w:r>
    </w:p>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四</w:t>
      </w:r>
      <w:r>
        <w:rPr>
          <w:rFonts w:hint="eastAsia" w:ascii="仿宋_GB2312" w:hAnsi="仿宋_GB2312" w:eastAsia="仿宋_GB2312" w:cs="仿宋_GB2312"/>
          <w:kern w:val="0"/>
          <w:sz w:val="32"/>
          <w:szCs w:val="32"/>
        </w:rPr>
        <w:t>）负责园区内基础设施和公用设施建设与管理。按权限负责园区的应急管理、生态环境等工作。</w:t>
      </w:r>
    </w:p>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五</w:t>
      </w:r>
      <w:r>
        <w:rPr>
          <w:rFonts w:hint="eastAsia" w:ascii="仿宋_GB2312" w:hAnsi="仿宋_GB2312" w:eastAsia="仿宋_GB2312" w:cs="仿宋_GB2312"/>
          <w:kern w:val="0"/>
          <w:sz w:val="32"/>
          <w:szCs w:val="32"/>
        </w:rPr>
        <w:t>）负责园区财政、金融、内部审计、国有资产管理和经济运行监测、分析、统计等工作。</w:t>
      </w:r>
    </w:p>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六</w:t>
      </w:r>
      <w:r>
        <w:rPr>
          <w:rFonts w:hint="eastAsia" w:ascii="仿宋_GB2312" w:hAnsi="仿宋_GB2312" w:eastAsia="仿宋_GB2312" w:cs="仿宋_GB2312"/>
          <w:kern w:val="0"/>
          <w:sz w:val="32"/>
          <w:szCs w:val="32"/>
        </w:rPr>
        <w:t>）负责园区工业信息化、产业培育发展、科技创新与成果转化、人才服务、招才引智等工作。</w:t>
      </w:r>
    </w:p>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七</w:t>
      </w:r>
      <w:r>
        <w:rPr>
          <w:rFonts w:hint="eastAsia" w:ascii="仿宋_GB2312" w:hAnsi="仿宋_GB2312" w:eastAsia="仿宋_GB2312" w:cs="仿宋_GB2312"/>
          <w:kern w:val="0"/>
          <w:sz w:val="32"/>
          <w:szCs w:val="32"/>
        </w:rPr>
        <w:t>）协调并指导有关部门的派出机构开展工作，负责综合保税区的规划建设、开发、运营及管理工作。</w:t>
      </w:r>
    </w:p>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八</w:t>
      </w:r>
      <w:r>
        <w:rPr>
          <w:rFonts w:hint="eastAsia" w:ascii="仿宋_GB2312" w:hAnsi="仿宋_GB2312" w:eastAsia="仿宋_GB2312" w:cs="仿宋_GB2312"/>
          <w:kern w:val="0"/>
          <w:sz w:val="32"/>
          <w:szCs w:val="32"/>
        </w:rPr>
        <w:t>）按权限开展赋予园区履行的行政审批等相关工作。</w:t>
      </w:r>
    </w:p>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九</w:t>
      </w:r>
      <w:r>
        <w:rPr>
          <w:rFonts w:hint="eastAsia" w:ascii="仿宋_GB2312" w:hAnsi="仿宋_GB2312" w:eastAsia="仿宋_GB2312" w:cs="仿宋_GB2312"/>
          <w:kern w:val="0"/>
          <w:sz w:val="32"/>
          <w:szCs w:val="32"/>
        </w:rPr>
        <w:t>）完成自治区党委政府、鄂尔多斯市委政府交办的其他任务。</w:t>
      </w:r>
    </w:p>
    <w:p>
      <w:pPr>
        <w:keepNext w:val="0"/>
        <w:keepLines w:val="0"/>
        <w:pageBreakBefore w:val="0"/>
        <w:widowControl/>
        <w:kinsoku/>
        <w:wordWrap/>
        <w:overflowPunct/>
        <w:topLinePunct w:val="0"/>
        <w:autoSpaceDE/>
        <w:autoSpaceDN/>
        <w:bidi w:val="0"/>
        <w:adjustRightInd/>
        <w:snapToGrid/>
        <w:spacing w:before="240" w:after="240" w:line="520" w:lineRule="exact"/>
        <w:textAlignment w:val="auto"/>
        <w:rPr>
          <w:rFonts w:hint="default"/>
          <w:lang w:val="en-US" w:eastAsia="zh-CN"/>
        </w:rPr>
      </w:pPr>
      <w:r>
        <w:rPr>
          <w:rFonts w:hint="eastAsia" w:ascii="仿宋_GB2312" w:hAnsi="仿宋_GB2312" w:eastAsia="仿宋_GB2312" w:cs="仿宋_GB2312"/>
          <w:kern w:val="0"/>
          <w:sz w:val="32"/>
          <w:szCs w:val="32"/>
        </w:rPr>
        <w:t> </w:t>
      </w:r>
      <w:r>
        <w:rPr>
          <w:rFonts w:hint="eastAsia" w:ascii="仿宋_GB2312" w:hAnsi="仿宋_GB2312" w:eastAsia="仿宋_GB2312" w:cs="仿宋_GB2312"/>
          <w:kern w:val="0"/>
          <w:sz w:val="32"/>
          <w:szCs w:val="32"/>
          <w:lang w:val="en-US" w:eastAsia="zh-CN"/>
        </w:rPr>
        <w:t xml:space="preserve">   </w:t>
      </w:r>
    </w:p>
    <w:p>
      <w:pPr>
        <w:pageBreakBefore w:val="0"/>
        <w:widowControl/>
        <w:kinsoku/>
        <w:wordWrap/>
        <w:overflowPunct/>
        <w:topLinePunct w:val="0"/>
        <w:autoSpaceDE/>
        <w:autoSpaceDN/>
        <w:bidi w:val="0"/>
        <w:adjustRightInd/>
        <w:snapToGrid/>
        <w:spacing w:before="240" w:after="240" w:line="520" w:lineRule="exact"/>
        <w:ind w:firstLine="320" w:firstLineChars="100"/>
        <w:jc w:val="left"/>
        <w:rPr>
          <w:rFonts w:ascii="黑体" w:hAnsi="黑体" w:eastAsia="黑体" w:cs="黑体"/>
          <w:b w:val="0"/>
          <w:bCs w:val="0"/>
          <w:kern w:val="0"/>
          <w:sz w:val="32"/>
          <w:szCs w:val="32"/>
        </w:rPr>
      </w:pPr>
    </w:p>
    <w:p>
      <w:pPr>
        <w:pageBreakBefore w:val="0"/>
        <w:widowControl/>
        <w:kinsoku/>
        <w:wordWrap/>
        <w:overflowPunct/>
        <w:topLinePunct w:val="0"/>
        <w:autoSpaceDE/>
        <w:autoSpaceDN/>
        <w:bidi w:val="0"/>
        <w:adjustRightInd/>
        <w:snapToGrid/>
        <w:spacing w:before="240" w:after="240" w:line="520" w:lineRule="exact"/>
        <w:ind w:firstLine="320" w:firstLineChars="100"/>
        <w:jc w:val="left"/>
        <w:rPr>
          <w:rFonts w:ascii="黑体" w:hAnsi="黑体" w:eastAsia="黑体" w:cs="黑体"/>
          <w:b w:val="0"/>
          <w:bCs w:val="0"/>
          <w:kern w:val="0"/>
          <w:sz w:val="32"/>
          <w:szCs w:val="32"/>
        </w:rPr>
      </w:pPr>
      <w:r>
        <w:rPr>
          <w:rFonts w:ascii="黑体" w:hAnsi="黑体" w:eastAsia="黑体" w:cs="黑体"/>
          <w:b w:val="0"/>
          <w:bCs w:val="0"/>
          <w:kern w:val="0"/>
          <w:sz w:val="32"/>
          <w:szCs w:val="32"/>
        </w:rPr>
        <w:t>二、单位机构设置及决算单位构成情况</w:t>
      </w:r>
    </w:p>
    <w:p>
      <w:pPr>
        <w:pageBreakBefore w:val="0"/>
        <w:widowControl/>
        <w:kinsoku/>
        <w:wordWrap/>
        <w:overflowPunct/>
        <w:topLinePunct w:val="0"/>
        <w:autoSpaceDE/>
        <w:autoSpaceDN/>
        <w:bidi w:val="0"/>
        <w:adjustRightInd/>
        <w:snapToGrid/>
        <w:spacing w:before="240" w:after="240" w:line="520" w:lineRule="exact"/>
        <w:ind w:firstLine="49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1.根据单位职责分工，本单位内设机构包括</w:t>
      </w:r>
      <w:r>
        <w:rPr>
          <w:rFonts w:hint="eastAsia" w:ascii="仿宋_GB2312" w:hAnsi="仿宋_GB2312" w:eastAsia="仿宋_GB2312" w:cs="仿宋_GB2312"/>
          <w:kern w:val="0"/>
          <w:sz w:val="32"/>
          <w:szCs w:val="32"/>
          <w:lang w:val="en-US" w:eastAsia="zh-CN"/>
        </w:rPr>
        <w:t>党政办公室（党群工作部）、经济发展局（科技人才局）、招商和投资促进局、财政金融局、建设管理局、生态环境和应急管理办公室、综合保税区管理办公室</w:t>
      </w:r>
      <w:r>
        <w:rPr>
          <w:rFonts w:hint="eastAsia" w:ascii="仿宋_GB2312" w:hAnsi="仿宋_GB2312" w:eastAsia="仿宋_GB2312" w:cs="仿宋_GB2312"/>
          <w:kern w:val="0"/>
          <w:sz w:val="32"/>
          <w:szCs w:val="32"/>
        </w:rPr>
        <w:t>。本单位无下属单位。</w:t>
      </w:r>
    </w:p>
    <w:p>
      <w:pPr>
        <w:pageBreakBefore w:val="0"/>
        <w:widowControl/>
        <w:kinsoku/>
        <w:wordWrap/>
        <w:overflowPunct/>
        <w:topLinePunct w:val="0"/>
        <w:autoSpaceDE/>
        <w:autoSpaceDN/>
        <w:bidi w:val="0"/>
        <w:adjustRightInd/>
        <w:snapToGrid/>
        <w:spacing w:before="240" w:after="240" w:line="520" w:lineRule="exact"/>
        <w:ind w:firstLine="49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2.从决算单位构成看，纳入本财政汇总决算编制范围的预算单位共计</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家，具体包括：内蒙古自治区鄂尔多斯空港物流园区管理委员会。详细情况见表：</w:t>
      </w:r>
    </w:p>
    <w:tbl>
      <w:tblPr>
        <w:tblStyle w:val="19"/>
        <w:tblW w:w="9140" w:type="dxa"/>
        <w:jc w:val="center"/>
        <w:tblInd w:w="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
      <w:tblGrid>
        <w:gridCol w:w="1104"/>
        <w:gridCol w:w="3863"/>
        <w:gridCol w:w="4173"/>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Ex>
        <w:trPr>
          <w:trHeight w:val="713" w:hRule="atLeast"/>
          <w:tblHeader/>
          <w:jc w:val="center"/>
        </w:trPr>
        <w:tc>
          <w:tcPr>
            <w:tcW w:w="1104" w:type="dxa"/>
            <w:tcBorders>
              <w:bottom w:val="inset" w:color="808080" w:sz="6" w:space="0"/>
              <w:right w:val="inset" w:color="808080" w:sz="6" w:space="0"/>
            </w:tcBorders>
            <w:noWrap w:val="0"/>
            <w:tcMar>
              <w:top w:w="22" w:type="dxa"/>
              <w:left w:w="22" w:type="dxa"/>
              <w:bottom w:w="22" w:type="dxa"/>
              <w:right w:w="22" w:type="dxa"/>
            </w:tcMar>
            <w:vAlign w:val="center"/>
          </w:tcPr>
          <w:p>
            <w:pPr>
              <w:pageBreakBefore w:val="0"/>
              <w:widowControl/>
              <w:kinsoku/>
              <w:wordWrap/>
              <w:overflowPunct/>
              <w:topLinePunct w:val="0"/>
              <w:autoSpaceDE/>
              <w:autoSpaceDN/>
              <w:bidi w:val="0"/>
              <w:adjustRightInd/>
              <w:snapToGrid/>
              <w:spacing w:before="240" w:after="240" w:line="52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序号</w:t>
            </w:r>
          </w:p>
        </w:tc>
        <w:tc>
          <w:tcPr>
            <w:tcW w:w="3863" w:type="dxa"/>
            <w:tcBorders>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pageBreakBefore w:val="0"/>
              <w:widowControl/>
              <w:kinsoku/>
              <w:wordWrap/>
              <w:overflowPunct/>
              <w:topLinePunct w:val="0"/>
              <w:autoSpaceDE/>
              <w:autoSpaceDN/>
              <w:bidi w:val="0"/>
              <w:adjustRightInd/>
              <w:snapToGrid/>
              <w:spacing w:before="240" w:after="240" w:line="520" w:lineRule="exact"/>
              <w:ind w:firstLine="490"/>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单位名称</w:t>
            </w:r>
          </w:p>
        </w:tc>
        <w:tc>
          <w:tcPr>
            <w:tcW w:w="4173" w:type="dxa"/>
            <w:tcBorders>
              <w:left w:val="inset" w:color="808080" w:sz="6" w:space="0"/>
              <w:bottom w:val="inset" w:color="808080" w:sz="6" w:space="0"/>
            </w:tcBorders>
            <w:noWrap w:val="0"/>
            <w:tcMar>
              <w:top w:w="22" w:type="dxa"/>
              <w:left w:w="22" w:type="dxa"/>
              <w:bottom w:w="22" w:type="dxa"/>
              <w:right w:w="22" w:type="dxa"/>
            </w:tcMar>
            <w:vAlign w:val="center"/>
          </w:tcPr>
          <w:p>
            <w:pPr>
              <w:pageBreakBefore w:val="0"/>
              <w:widowControl/>
              <w:kinsoku/>
              <w:wordWrap/>
              <w:overflowPunct/>
              <w:topLinePunct w:val="0"/>
              <w:autoSpaceDE/>
              <w:autoSpaceDN/>
              <w:bidi w:val="0"/>
              <w:adjustRightInd/>
              <w:snapToGrid/>
              <w:spacing w:before="240" w:after="240" w:line="520" w:lineRule="exact"/>
              <w:ind w:firstLine="490"/>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单位性质</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Ex>
        <w:trPr>
          <w:trHeight w:val="1564" w:hRule="atLeast"/>
          <w:jc w:val="center"/>
        </w:trPr>
        <w:tc>
          <w:tcPr>
            <w:tcW w:w="1104" w:type="dxa"/>
            <w:tcBorders>
              <w:top w:val="inset" w:color="808080" w:sz="6" w:space="0"/>
              <w:bottom w:val="inset" w:color="808080" w:sz="6" w:space="0"/>
              <w:right w:val="inset" w:color="808080" w:sz="6" w:space="0"/>
            </w:tcBorders>
            <w:noWrap w:val="0"/>
            <w:tcMar>
              <w:top w:w="22" w:type="dxa"/>
              <w:left w:w="22" w:type="dxa"/>
              <w:bottom w:w="22" w:type="dxa"/>
              <w:right w:w="22" w:type="dxa"/>
            </w:tcMar>
            <w:vAlign w:val="center"/>
          </w:tcPr>
          <w:p>
            <w:pPr>
              <w:pageBreakBefore w:val="0"/>
              <w:widowControl/>
              <w:kinsoku/>
              <w:wordWrap/>
              <w:overflowPunct/>
              <w:topLinePunct w:val="0"/>
              <w:autoSpaceDE/>
              <w:autoSpaceDN/>
              <w:bidi w:val="0"/>
              <w:adjustRightInd/>
              <w:snapToGrid/>
              <w:spacing w:before="240" w:after="240" w:line="520" w:lineRule="exact"/>
              <w:ind w:firstLine="49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p>
        </w:tc>
        <w:tc>
          <w:tcPr>
            <w:tcW w:w="3863"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pageBreakBefore w:val="0"/>
              <w:widowControl/>
              <w:kinsoku/>
              <w:wordWrap/>
              <w:overflowPunct/>
              <w:topLinePunct w:val="0"/>
              <w:autoSpaceDE/>
              <w:autoSpaceDN/>
              <w:bidi w:val="0"/>
              <w:adjustRightInd/>
              <w:snapToGrid/>
              <w:spacing w:before="240" w:after="240" w:line="52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内蒙古自治区鄂尔多斯空港物流园区管理委员会</w:t>
            </w:r>
          </w:p>
        </w:tc>
        <w:tc>
          <w:tcPr>
            <w:tcW w:w="4173" w:type="dxa"/>
            <w:tcBorders>
              <w:top w:val="inset" w:color="808080" w:sz="6" w:space="0"/>
              <w:left w:val="inset" w:color="808080" w:sz="6" w:space="0"/>
              <w:bottom w:val="inset" w:color="808080" w:sz="6" w:space="0"/>
            </w:tcBorders>
            <w:noWrap w:val="0"/>
            <w:tcMar>
              <w:top w:w="22" w:type="dxa"/>
              <w:left w:w="22" w:type="dxa"/>
              <w:bottom w:w="22" w:type="dxa"/>
              <w:right w:w="22" w:type="dxa"/>
            </w:tcMar>
            <w:vAlign w:val="center"/>
          </w:tcPr>
          <w:p>
            <w:pPr>
              <w:pageBreakBefore w:val="0"/>
              <w:widowControl/>
              <w:kinsoku/>
              <w:wordWrap/>
              <w:overflowPunct/>
              <w:topLinePunct w:val="0"/>
              <w:autoSpaceDE/>
              <w:autoSpaceDN/>
              <w:bidi w:val="0"/>
              <w:adjustRightInd/>
              <w:snapToGrid/>
              <w:spacing w:before="240" w:after="240" w:line="520" w:lineRule="exact"/>
              <w:ind w:firstLine="49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财政拨款的行政单位</w:t>
            </w:r>
          </w:p>
        </w:tc>
      </w:tr>
    </w:tbl>
    <w:p>
      <w:pPr>
        <w:pageBreakBefore w:val="0"/>
        <w:widowControl/>
        <w:kinsoku/>
        <w:wordWrap/>
        <w:overflowPunct/>
        <w:topLinePunct w:val="0"/>
        <w:autoSpaceDE/>
        <w:autoSpaceDN/>
        <w:bidi w:val="0"/>
        <w:adjustRightInd/>
        <w:snapToGrid/>
        <w:spacing w:before="240" w:after="240" w:line="520" w:lineRule="exact"/>
        <w:jc w:val="left"/>
        <w:rPr>
          <w:rFonts w:ascii="黑体" w:hAnsi="黑体" w:eastAsia="黑体" w:cs="黑体"/>
          <w:b w:val="0"/>
          <w:bCs w:val="0"/>
          <w:kern w:val="0"/>
          <w:sz w:val="32"/>
          <w:szCs w:val="32"/>
        </w:rPr>
      </w:pPr>
    </w:p>
    <w:p>
      <w:pPr>
        <w:pageBreakBefore w:val="0"/>
        <w:widowControl/>
        <w:kinsoku/>
        <w:wordWrap/>
        <w:overflowPunct/>
        <w:topLinePunct w:val="0"/>
        <w:autoSpaceDE/>
        <w:autoSpaceDN/>
        <w:bidi w:val="0"/>
        <w:adjustRightInd/>
        <w:snapToGrid/>
        <w:spacing w:before="240" w:after="240" w:line="520" w:lineRule="exact"/>
        <w:ind w:firstLine="320" w:firstLineChars="100"/>
        <w:jc w:val="left"/>
        <w:rPr>
          <w:rFonts w:ascii="黑体" w:hAnsi="黑体" w:eastAsia="黑体" w:cs="黑体"/>
          <w:b w:val="0"/>
          <w:bCs w:val="0"/>
          <w:kern w:val="0"/>
          <w:sz w:val="32"/>
          <w:szCs w:val="32"/>
        </w:rPr>
      </w:pPr>
      <w:r>
        <w:rPr>
          <w:rFonts w:ascii="黑体" w:hAnsi="黑体" w:eastAsia="黑体" w:cs="黑体"/>
          <w:b w:val="0"/>
          <w:bCs w:val="0"/>
          <w:kern w:val="0"/>
          <w:sz w:val="32"/>
          <w:szCs w:val="32"/>
        </w:rPr>
        <w:t>三、202</w:t>
      </w:r>
      <w:r>
        <w:rPr>
          <w:rFonts w:hint="eastAsia" w:ascii="黑体" w:hAnsi="黑体" w:eastAsia="黑体" w:cs="黑体"/>
          <w:b w:val="0"/>
          <w:bCs w:val="0"/>
          <w:kern w:val="0"/>
          <w:sz w:val="32"/>
          <w:szCs w:val="32"/>
          <w:lang w:val="en-US" w:eastAsia="zh-CN"/>
        </w:rPr>
        <w:t>4</w:t>
      </w:r>
      <w:r>
        <w:rPr>
          <w:rFonts w:ascii="黑体" w:hAnsi="黑体" w:eastAsia="黑体" w:cs="黑体"/>
          <w:b w:val="0"/>
          <w:bCs w:val="0"/>
          <w:kern w:val="0"/>
          <w:sz w:val="32"/>
          <w:szCs w:val="32"/>
        </w:rPr>
        <w:t>年度单位主要工作完成情况</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一）党建工作扎实有效。认真履行全面从严治党主体责任，党员干部坚持拥护“两个确立”、做到“两个维护”，“四个意识”更加牢固、“四个自信”更加坚定。推进党纪学习教育常态化制度化，开展读书会、研讨会、庭审会等专题学习教育22次。压实意识形态工作责任制，深入学习贯彻党的二十届三中全会精神14次。健全完善内控制度44项，初步形成制度管人、流程管事、纪律管权、文化管心、依法治园的机关文化。</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二）经济发展快中向好。开复工项目19个，开复工率91%，市级调度的6个项目全部开复工；完成投资10.25亿元，完成目标103%；完成产值12.11亿元，完成目标121%；进出口额45亿元,占全市41%。完成一般公共预算收入0.98亿元、政府性基金预算收入1.04亿元。争取上级资金1.83亿元。按期偿还债券本金3.05亿元、债券利息1.32亿元。</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三）产业培育卓有成效。完成园区产业规划修编及绿氢生态创新区产业空间布局规划编制。签约项目21个，完成目标105%，其中落地项目8个；签约资金58亿元，完成目标388%。新能源研究院一期项目当年建成投运并发布四项成果，并争取八个科技突围奖补项目。国家技术创新基地（氢能）标准验证中心（鄂尔多斯）暨绿色氢能关键装备实证研发中心已建成并开始实施检测。广东清能、海德氢能项目投产。培育国家高新技术企业2家，国家科技型中小企业6家，自治区专精特新企业1家、创新型中小企业2家，获批“鄂尔多斯空港物流园区（综合保税区）信息保税制造产业集群”“内蒙古自治区电子信息产业知识产权运营中心”。完成3000亩低空经济发展区规划编制，正在对接引进低空测试、无人机测试、航空培训贺华夏航空维修等低空产业项目8个。启动建设矿鸿产业园，15家企业即将入驻。物流集散中心建成投用，京东、顺丰、国能新朔等龙头企业已进驻运营。</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四）营商环境持续优化。深入开展助企纾困五大行动（惠企政策宣传、手续办理、融资服务、我为企业找订单、稳岗就业），成立政务服务工作站，按时办结服务企业事项219项。以“标准地+带方案”方式出让4宗土地，全区首例新型产业用地政策试点项目落户园区。优化营商环境考核进入全市开发区前三。</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五）对外开放格局加快构建。启动实施零碳服务贸易十大体系三年行动，建成综合保税区（杭州）飞地产业孵化中心；我市首列回程中欧班列顺利入区，首架进境水果全货机顺利入港；综保区铁路专用线接轨方案获呼铁局批复。荣获“2024中国最具投资潜力综合保税区”。</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六）基础配套日趋完善。物流集散中心及蒙发平行进口汽车物流配送中心等45万平米工业及仓储厂房基本建成，充分满足企业入驻需求。选址建设5个公共卫生间，智慧交通项目即将完工。完成园区Logo设计和35条道路命名。园区获批“伊金霍洛旗空港型自治区级物流枢纽”（自治区首家、目前唯一）。</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七）风险防范工作稳步推进。开展安全生产治本攻坚三年行动，统筹落实重塑“四个体系”“双归零十七条”等“四合一组合拳”，安全生产平稳有序。按期偿还债券本息4.37亿元，有效防范系统性风险。办理接诉即办工单360件，办结率94%。开展根治欠薪行动，排查化解欠薪案件5个，帮助574名农民工追要工资645万元。</w:t>
      </w:r>
    </w:p>
    <w:p>
      <w:pPr>
        <w:pStyle w:val="2"/>
        <w:keepNext w:val="0"/>
        <w:keepLines w:val="0"/>
        <w:pageBreakBefore w:val="0"/>
        <w:widowControl/>
        <w:kinsoku/>
        <w:wordWrap/>
        <w:overflowPunct/>
        <w:topLinePunct w:val="0"/>
        <w:autoSpaceDE/>
        <w:autoSpaceDN/>
        <w:bidi w:val="0"/>
        <w:adjustRightInd/>
        <w:snapToGrid/>
        <w:spacing w:before="299" w:after="299" w:line="520" w:lineRule="exact"/>
        <w:jc w:val="center"/>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第二部分  单位决算情况说明</w:t>
      </w:r>
    </w:p>
    <w:p>
      <w:pPr>
        <w:widowControl/>
        <w:spacing w:before="240" w:after="240"/>
        <w:jc w:val="left"/>
        <w:rPr>
          <w:rFonts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黑体" w:hAnsi="黑体" w:eastAsia="黑体" w:cs="黑体"/>
          <w:b w:val="0"/>
          <w:bCs w:val="0"/>
          <w:kern w:val="0"/>
          <w:sz w:val="32"/>
          <w:szCs w:val="32"/>
        </w:rPr>
        <w:t>一、收入支出决算总体情况说明</w:t>
      </w:r>
    </w:p>
    <w:p>
      <w:pPr>
        <w:widowControl/>
        <w:spacing w:before="240" w:after="240"/>
        <w:ind w:firstLine="640" w:firstLineChars="200"/>
        <w:rPr>
          <w:rFonts w:hint="eastAsia" w:ascii="楷体_GB2312" w:hAnsi="楷体_GB2312" w:eastAsia="楷体_GB2312" w:cs="楷体_GB2312"/>
          <w:b w:val="0"/>
          <w:bCs w:val="0"/>
          <w:kern w:val="0"/>
          <w:sz w:val="32"/>
          <w:szCs w:val="32"/>
          <w:u w:val="none"/>
        </w:rPr>
      </w:pPr>
      <w:r>
        <w:rPr>
          <w:rFonts w:hint="eastAsia" w:ascii="仿宋_GB2312" w:hAnsi="仿宋_GB2312" w:eastAsia="仿宋_GB2312" w:cs="仿宋_GB2312"/>
          <w:kern w:val="0"/>
          <w:sz w:val="32"/>
          <w:szCs w:val="32"/>
          <w:lang w:val="en-US" w:eastAsia="zh-CN"/>
        </w:rPr>
        <w:t>内蒙古自治区鄂尔多斯空港物流园区管理委员会 2024年度收入、支出决算总计均为 20271.75万元。与年初预算相比，收、支总计各增加 8396.30万元，增长70.70%，变动原因：主要为新增扫雪除冰车辆设备采购项目预算指标375.61万元、新增应急物资储备库二期建设资金项目预算指标4800万元、2024年第四批新增地方政府一般债券资金项目预算指标3600万元；与上年决算相比，收、支总计各减少1533.80万元，下降7.03%。其中：</w:t>
      </w:r>
    </w:p>
    <w:p>
      <w:pPr>
        <w:widowControl/>
        <w:spacing w:before="240" w:after="240"/>
        <w:rPr>
          <w:rFonts w:hint="eastAsia" w:ascii="fang_song_gb2312" w:hAnsi="fang_song_gb2312" w:eastAsia="宋体" w:cs="fang_song_gb2312"/>
          <w:kern w:val="0"/>
          <w:sz w:val="27"/>
          <w:szCs w:val="27"/>
          <w:u w:val="none"/>
          <w:lang w:val="en-US" w:eastAsia="zh-CN"/>
        </w:rPr>
      </w:pPr>
      <w:r>
        <w:rPr>
          <w:rFonts w:ascii="fang_song_gb2312" w:hAnsi="fang_song_gb2312" w:eastAsia="fang_song_gb2312" w:cs="fang_song_gb2312"/>
          <w:kern w:val="0"/>
          <w:sz w:val="27"/>
          <w:szCs w:val="27"/>
          <w:u w:val="none"/>
        </w:rPr>
        <w:t xml:space="preserve">  </w:t>
      </w:r>
      <w:r>
        <w:rPr>
          <w:rFonts w:hint="eastAsia" w:ascii="楷体_GB2312" w:hAnsi="楷体_GB2312" w:eastAsia="楷体_GB2312" w:cs="楷体_GB2312"/>
          <w:b w:val="0"/>
          <w:bCs w:val="0"/>
          <w:kern w:val="0"/>
          <w:sz w:val="32"/>
          <w:szCs w:val="32"/>
          <w:u w:val="none"/>
          <w:lang w:val="en-US" w:eastAsia="zh-CN"/>
        </w:rPr>
        <w:t>（一）收入决算总计 20271.75万元。包括：</w:t>
      </w:r>
    </w:p>
    <w:p>
      <w:pPr>
        <w:widowControl/>
        <w:spacing w:before="240" w:after="240"/>
        <w:rPr>
          <w:rFonts w:hint="eastAsia" w:ascii="仿宋_GB2312" w:hAnsi="仿宋_GB2312" w:eastAsia="仿宋_GB2312" w:cs="仿宋_GB2312"/>
          <w:kern w:val="0"/>
          <w:sz w:val="32"/>
          <w:szCs w:val="32"/>
          <w:lang w:val="en-US" w:eastAsia="zh-CN"/>
        </w:rPr>
      </w:pPr>
      <w:r>
        <w:rPr>
          <w:rFonts w:hint="eastAsia" w:ascii="fang_song_gb2312" w:hAnsi="fang_song_gb2312" w:eastAsia="宋体" w:cs="fang_song_gb2312"/>
          <w:kern w:val="0"/>
          <w:sz w:val="27"/>
          <w:szCs w:val="27"/>
          <w:u w:val="none"/>
          <w:lang w:val="en-US" w:eastAsia="zh-CN"/>
        </w:rPr>
        <w:t>   </w:t>
      </w:r>
      <w:r>
        <w:rPr>
          <w:rFonts w:hint="eastAsia" w:ascii="仿宋_GB2312" w:hAnsi="仿宋_GB2312" w:eastAsia="仿宋_GB2312" w:cs="仿宋_GB2312"/>
          <w:kern w:val="0"/>
          <w:sz w:val="32"/>
          <w:szCs w:val="32"/>
          <w:lang w:val="en-US" w:eastAsia="zh-CN"/>
        </w:rPr>
        <w:t xml:space="preserve"> 1.本年收入决算合计 20252.95万元。与上年决算相比，减少227.93万元，下降1.11%，变动原因：本年度因工作重点安排变化比上年减少建设管理局重点项目建设资金收入。</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2.使用非财政拨款结余（含专用结余） 0万元。与上年决算相比，增加 0万元，增长 0%，变动原因：不存在此项内容。</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3.年初结转和结余 18.80万元。与上年决算相比，减少1305.86万元，下降98.58%，变动原因：盘活存量资金2023年调整年初数，2024年不调整，所以导致2024年年初数比2023年年初数减少1305.86万元。</w:t>
      </w:r>
    </w:p>
    <w:p>
      <w:pPr>
        <w:widowControl/>
        <w:spacing w:before="240" w:after="240"/>
        <w:ind w:firstLine="320" w:firstLineChars="100"/>
        <w:rPr>
          <w:rFonts w:hint="eastAsia" w:ascii="楷体_GB2312" w:hAnsi="楷体_GB2312" w:eastAsia="楷体_GB2312" w:cs="楷体_GB2312"/>
          <w:b w:val="0"/>
          <w:bCs w:val="0"/>
          <w:kern w:val="0"/>
          <w:sz w:val="32"/>
          <w:szCs w:val="32"/>
          <w:u w:val="none"/>
          <w:lang w:val="en-US" w:eastAsia="zh-CN"/>
        </w:rPr>
      </w:pPr>
      <w:r>
        <w:rPr>
          <w:rFonts w:hint="eastAsia" w:ascii="楷体_GB2312" w:hAnsi="楷体_GB2312" w:eastAsia="楷体_GB2312" w:cs="楷体_GB2312"/>
          <w:b w:val="0"/>
          <w:bCs w:val="0"/>
          <w:kern w:val="0"/>
          <w:sz w:val="32"/>
          <w:szCs w:val="32"/>
          <w:u w:val="none"/>
          <w:lang w:val="en-US" w:eastAsia="zh-CN"/>
        </w:rPr>
        <w:t>（二）支出决算总计 20271.75万元。包括：</w:t>
      </w:r>
    </w:p>
    <w:p>
      <w:pPr>
        <w:widowControl/>
        <w:spacing w:before="240" w:after="240"/>
        <w:rPr>
          <w:rFonts w:hint="eastAsia" w:ascii="仿宋_GB2312" w:hAnsi="仿宋_GB2312" w:eastAsia="仿宋_GB2312" w:cs="仿宋_GB2312"/>
          <w:kern w:val="0"/>
          <w:sz w:val="32"/>
          <w:szCs w:val="32"/>
          <w:lang w:val="en-US" w:eastAsia="zh-CN"/>
        </w:rPr>
      </w:pPr>
      <w:r>
        <w:rPr>
          <w:rFonts w:hint="eastAsia" w:ascii="楷体_GB2312" w:hAnsi="楷体_GB2312" w:eastAsia="楷体_GB2312" w:cs="楷体_GB2312"/>
          <w:b w:val="0"/>
          <w:bCs w:val="0"/>
          <w:kern w:val="0"/>
          <w:sz w:val="32"/>
          <w:szCs w:val="32"/>
          <w:u w:val="none"/>
        </w:rPr>
        <w:t xml:space="preserve">  </w:t>
      </w:r>
      <w:r>
        <w:rPr>
          <w:rFonts w:hint="eastAsia" w:ascii="仿宋_GB2312" w:hAnsi="仿宋_GB2312" w:eastAsia="仿宋_GB2312" w:cs="仿宋_GB2312"/>
          <w:kern w:val="0"/>
          <w:sz w:val="32"/>
          <w:szCs w:val="32"/>
          <w:lang w:val="en-US" w:eastAsia="zh-CN"/>
        </w:rPr>
        <w:t>  1.本年支出决算合计 20241.81万元。与上年决算相比，减少1544.94万元，下降7.09%，变动原因：本年度因工作重点安排变化比上年减少建设管理局重点项目建设资金支出。</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2.结余分配 0.00万元。结余分配事项：无。与上年决算相比，增加 0.00万元，变动原因：不存在此项内容。</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3.年末结转和结余 29.94万元。结转和结余事项：财政拨款结转结余0.37万元，基本支出结转0.14万元，为之前年度个税工资结转，项目支出结转0.23万元，为退回借款和差旅费；非财政拨款结转结余29.56万元，为之前年度党建经费、利息收入4.56万元和2024年招商引资奖励经费25万元。与上年决算相比，增加 11.14万元，增长 59.26%，变动原因：2024年新增伊旗工业信息化和投资促进局招商引资奖励收入结转。</w:t>
      </w:r>
    </w:p>
    <w:p>
      <w:pPr>
        <w:widowControl/>
        <w:spacing w:before="240" w:after="240"/>
        <w:jc w:val="left"/>
        <w:rPr>
          <w:rFonts w:hint="eastAsia"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hint="eastAsia" w:ascii="黑体" w:hAnsi="黑体" w:eastAsia="黑体" w:cs="黑体"/>
          <w:b w:val="0"/>
          <w:bCs w:val="0"/>
          <w:kern w:val="0"/>
          <w:sz w:val="32"/>
          <w:szCs w:val="32"/>
        </w:rPr>
        <w:t>  二、收入决算情况说明</w:t>
      </w:r>
    </w:p>
    <w:p>
      <w:pPr>
        <w:widowControl/>
        <w:spacing w:before="240" w:after="240"/>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内蒙古自治区鄂尔多斯空港物流园区管理委员会 2024年度本年收入决算合计 20252.95万元，其中：</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本年一般公共预算财政拨款收入 19438.80万元，占 95.98%；</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本年政府性基金预算财政拨款收入 781.75万元，占 3.86%；</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本年国有资本经营预算财政拨款收入 0万元，占 0%；</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本年上级补助收入 0万元，占 0%；</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本年事业收入 0万元，占 0%；</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本年经营收入 0万元，占 0%；</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本年附属单位上缴收入 0万元，占 0%；</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w:t>
      </w:r>
    </w:p>
    <w:p>
      <w:pPr>
        <w:widowControl/>
        <w:spacing w:before="240" w:after="240"/>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本年其他收入 32.40万元，占 0.16% </w:t>
      </w:r>
    </w:p>
    <w:p>
      <w:pPr>
        <w:widowControl/>
        <w:spacing w:before="240" w:after="240"/>
        <w:ind w:firstLine="480" w:firstLineChars="200"/>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drawing>
          <wp:inline distT="0" distB="0" distL="114300" distR="114300">
            <wp:extent cx="5845175" cy="3653790"/>
            <wp:effectExtent l="0" t="0" r="3175" b="381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7"/>
                    <a:stretch>
                      <a:fillRect/>
                    </a:stretch>
                  </pic:blipFill>
                  <pic:spPr>
                    <a:xfrm>
                      <a:off x="0" y="0"/>
                      <a:ext cx="5845175" cy="3653790"/>
                    </a:xfrm>
                    <a:prstGeom prst="rect">
                      <a:avLst/>
                    </a:prstGeom>
                    <a:noFill/>
                    <a:ln>
                      <a:noFill/>
                    </a:ln>
                  </pic:spPr>
                </pic:pic>
              </a:graphicData>
            </a:graphic>
          </wp:inline>
        </w:drawing>
      </w:r>
      <w:r>
        <w:rPr>
          <w:rFonts w:hint="eastAsia" w:ascii="仿宋_GB2312" w:hAnsi="仿宋_GB2312" w:eastAsia="仿宋_GB2312" w:cs="仿宋_GB2312"/>
          <w:kern w:val="0"/>
          <w:sz w:val="32"/>
          <w:szCs w:val="32"/>
          <w:lang w:val="en-US" w:eastAsia="zh-CN"/>
        </w:rPr>
        <w:t xml:space="preserve"> </w:t>
      </w:r>
    </w:p>
    <w:p>
      <w:pPr>
        <w:widowControl/>
        <w:spacing w:before="240" w:after="240"/>
        <w:ind w:firstLine="640" w:firstLineChars="200"/>
        <w:jc w:val="center"/>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图1.收入决算图</w:t>
      </w:r>
    </w:p>
    <w:p>
      <w:pPr>
        <w:widowControl/>
        <w:spacing w:before="240" w:after="240"/>
        <w:jc w:val="left"/>
        <w:rPr>
          <w:rFonts w:hint="eastAsia"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hint="eastAsia" w:ascii="黑体" w:hAnsi="黑体" w:eastAsia="黑体" w:cs="黑体"/>
          <w:b w:val="0"/>
          <w:bCs w:val="0"/>
          <w:kern w:val="0"/>
          <w:sz w:val="32"/>
          <w:szCs w:val="32"/>
        </w:rPr>
        <w:t xml:space="preserve"> 三、支出决算情况说明</w:t>
      </w:r>
    </w:p>
    <w:p>
      <w:pPr>
        <w:widowControl/>
        <w:spacing w:before="240" w:after="240"/>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内蒙古自治区鄂尔多斯空港物流园区管理委员会 2024年度本年支出决算合计 20241.81万元，其中：</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本年基本支出 1012.85万元，占 5.00%；</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本年项目支出 19228.97万元，占 95.00%；</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本年上缴上级支出 0万元，占 0%；</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本年经营支出 0万元，占 0%；</w:t>
      </w:r>
    </w:p>
    <w:p>
      <w:pPr>
        <w:widowControl/>
        <w:spacing w:before="240" w:after="24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lang w:val="en-US" w:eastAsia="zh-CN"/>
        </w:rPr>
        <w:t>    本年对附属单位补助支出 0万元，占 0%。</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xml:space="preserve">    </w:t>
      </w:r>
      <w:r>
        <w:drawing>
          <wp:inline distT="0" distB="0" distL="114300" distR="114300">
            <wp:extent cx="5661025" cy="3419475"/>
            <wp:effectExtent l="4445" t="4445" r="11430" b="508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ageBreakBefore w:val="0"/>
        <w:widowControl/>
        <w:kinsoku/>
        <w:wordWrap/>
        <w:overflowPunct/>
        <w:topLinePunct w:val="0"/>
        <w:autoSpaceDE/>
        <w:autoSpaceDN/>
        <w:bidi w:val="0"/>
        <w:adjustRightInd/>
        <w:snapToGrid/>
        <w:spacing w:before="240" w:after="240" w:line="520" w:lineRule="exact"/>
        <w:ind w:firstLine="3520" w:firstLineChars="1100"/>
        <w:jc w:val="both"/>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图2.支出决算图</w:t>
      </w:r>
    </w:p>
    <w:p>
      <w:pPr>
        <w:widowControl/>
        <w:spacing w:before="240" w:after="240"/>
        <w:jc w:val="left"/>
        <w:rPr>
          <w:rFonts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黑体" w:hAnsi="黑体" w:eastAsia="黑体" w:cs="黑体"/>
          <w:b w:val="0"/>
          <w:bCs w:val="0"/>
          <w:kern w:val="0"/>
          <w:sz w:val="32"/>
          <w:szCs w:val="32"/>
        </w:rPr>
        <w:t>四、财政拨款收入支出决算总体情况说明</w:t>
      </w:r>
    </w:p>
    <w:p>
      <w:pPr>
        <w:widowControl/>
        <w:spacing w:before="240" w:after="240"/>
        <w:ind w:firstLine="640" w:firstLineChars="200"/>
        <w:rPr>
          <w:rFonts w:hint="eastAsia"/>
        </w:rPr>
      </w:pPr>
      <w:r>
        <w:rPr>
          <w:rFonts w:hint="eastAsia" w:ascii="仿宋_GB2312" w:hAnsi="仿宋_GB2312" w:eastAsia="仿宋_GB2312" w:cs="仿宋_GB2312"/>
          <w:kern w:val="0"/>
          <w:sz w:val="32"/>
          <w:szCs w:val="32"/>
          <w:u w:val="none"/>
        </w:rPr>
        <w:t>内蒙古自治区鄂尔多斯空港物流园区管理委员会 2024年度财政拨款收入、支出决算总计均为 20231.92万元，与年初预算相比，收、支总计各增加8356.47万元，增长 70.37%，变动原因：</w:t>
      </w:r>
      <w:r>
        <w:rPr>
          <w:rFonts w:hint="eastAsia" w:ascii="仿宋_GB2312" w:hAnsi="仿宋_GB2312" w:eastAsia="仿宋_GB2312" w:cs="仿宋_GB2312"/>
          <w:kern w:val="0"/>
          <w:sz w:val="32"/>
          <w:szCs w:val="32"/>
          <w:lang w:val="en-US" w:eastAsia="zh-CN"/>
        </w:rPr>
        <w:t>主要为新增扫雪除冰车辆设备采购项目预算指标375.61万元、新增应急物资储备库二期建设资金项目预算指标4800万元、2024年第四批新增地方政府一般债券资金项目预算指标3600万元</w:t>
      </w:r>
      <w:r>
        <w:rPr>
          <w:rFonts w:hint="eastAsia" w:ascii="仿宋_GB2312" w:hAnsi="仿宋_GB2312" w:eastAsia="仿宋_GB2312" w:cs="仿宋_GB2312"/>
          <w:kern w:val="0"/>
          <w:sz w:val="32"/>
          <w:szCs w:val="32"/>
          <w:u w:val="none"/>
        </w:rPr>
        <w:t>；与上年决算相比，收、支总计各减少1560.21万元，下降7.16%，变动原因：</w:t>
      </w:r>
      <w:r>
        <w:rPr>
          <w:rFonts w:hint="eastAsia" w:ascii="仿宋_GB2312" w:hAnsi="仿宋_GB2312" w:eastAsia="仿宋_GB2312" w:cs="仿宋_GB2312"/>
          <w:kern w:val="0"/>
          <w:sz w:val="32"/>
          <w:szCs w:val="32"/>
          <w:lang w:val="en-US" w:eastAsia="zh-CN"/>
        </w:rPr>
        <w:t>本年度因工作重点安排变化比上年减少建设管理局重点项目建设资金收入、支出</w:t>
      </w:r>
      <w:r>
        <w:rPr>
          <w:rFonts w:hint="eastAsia" w:ascii="仿宋_GB2312" w:hAnsi="仿宋_GB2312" w:eastAsia="仿宋_GB2312" w:cs="仿宋_GB2312"/>
          <w:kern w:val="0"/>
          <w:sz w:val="32"/>
          <w:szCs w:val="32"/>
          <w:u w:val="none"/>
        </w:rPr>
        <w:t>。</w:t>
      </w:r>
    </w:p>
    <w:p>
      <w:pPr>
        <w:widowControl/>
        <w:spacing w:before="240" w:after="240"/>
        <w:jc w:val="left"/>
        <w:rPr>
          <w:rFonts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黑体" w:hAnsi="黑体" w:eastAsia="黑体" w:cs="黑体"/>
          <w:b w:val="0"/>
          <w:bCs w:val="0"/>
          <w:kern w:val="0"/>
          <w:sz w:val="32"/>
          <w:szCs w:val="32"/>
        </w:rPr>
        <w:t>五、一般公共预算财政拨款支出决算情况说明</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内蒙古自治区鄂尔多斯空港物流园区管理委员会 2024年度一般公共预算财政拨款支出决算 19449.69万元。与年初预算 10005.45万元相比，完成年初预算的 194.39%。其中：</w:t>
      </w:r>
    </w:p>
    <w:p>
      <w:pPr>
        <w:widowControl/>
        <w:spacing w:before="240" w:after="240"/>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w:t>
      </w:r>
      <w:r>
        <w:rPr>
          <w:rFonts w:hint="eastAsia" w:ascii="楷体_GB2312" w:hAnsi="楷体_GB2312" w:eastAsia="楷体_GB2312" w:cs="楷体_GB2312"/>
          <w:b w:val="0"/>
          <w:bCs w:val="0"/>
          <w:kern w:val="0"/>
          <w:sz w:val="32"/>
          <w:szCs w:val="32"/>
        </w:rPr>
        <w:t>（一）一般公共服务（类）</w:t>
      </w:r>
    </w:p>
    <w:p>
      <w:pPr>
        <w:pageBreakBefore w:val="0"/>
        <w:widowControl/>
        <w:kinsoku/>
        <w:wordWrap/>
        <w:overflowPunct/>
        <w:topLinePunct w:val="0"/>
        <w:autoSpaceDE/>
        <w:autoSpaceDN/>
        <w:bidi w:val="0"/>
        <w:adjustRightInd/>
        <w:snapToGrid/>
        <w:spacing w:before="240" w:after="240" w:line="520" w:lineRule="exact"/>
        <w:rPr>
          <w:rFonts w:hint="eastAsia" w:ascii="仿宋_GB2312" w:hAnsi="仿宋_GB2312" w:eastAsia="仿宋_GB2312" w:cs="仿宋_GB2312"/>
          <w:kern w:val="0"/>
          <w:sz w:val="32"/>
          <w:szCs w:val="32"/>
          <w:u w:val="none"/>
        </w:rPr>
      </w:pPr>
      <w:r>
        <w:rPr>
          <w:rFonts w:ascii="fang_song_gb2312" w:hAnsi="fang_song_gb2312" w:eastAsia="fang_song_gb2312" w:cs="fang_song_gb2312"/>
          <w:kern w:val="0"/>
          <w:sz w:val="27"/>
          <w:szCs w:val="27"/>
        </w:rPr>
        <w:t>   </w:t>
      </w:r>
      <w:r>
        <w:rPr>
          <w:rFonts w:ascii="fang_song_gb2312" w:hAnsi="fang_song_gb2312" w:eastAsia="fang_song_gb2312" w:cs="fang_song_gb2312"/>
          <w:kern w:val="0"/>
          <w:sz w:val="27"/>
          <w:szCs w:val="27"/>
          <w:u w:val="none"/>
        </w:rPr>
        <w:t xml:space="preserve"> </w:t>
      </w:r>
      <w:r>
        <w:rPr>
          <w:rFonts w:hint="eastAsia" w:ascii="仿宋_GB2312" w:hAnsi="仿宋_GB2312" w:eastAsia="仿宋_GB2312" w:cs="仿宋_GB2312"/>
          <w:kern w:val="0"/>
          <w:sz w:val="32"/>
          <w:szCs w:val="32"/>
          <w:u w:val="none"/>
        </w:rPr>
        <w:t xml:space="preserve"> 一般公共服务（类）决算数为 4091.47万元，与年初预算相比减少1940.64万元。其中：</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1．政府办公厅(室)及相关机构事务（款）行政运行（项）。年初预算</w:t>
      </w:r>
      <w:r>
        <w:rPr>
          <w:rFonts w:hint="eastAsia" w:ascii="仿宋_GB2312" w:hAnsi="仿宋_GB2312" w:eastAsia="仿宋_GB2312" w:cs="仿宋_GB2312"/>
          <w:kern w:val="0"/>
          <w:sz w:val="32"/>
          <w:szCs w:val="32"/>
          <w:u w:val="none"/>
          <w:lang w:val="en-US" w:eastAsia="zh-CN"/>
        </w:rPr>
        <w:t>2110.13</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1534.23</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72.71</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根据单位相关工作开展进度情况，公共安全专项项目、基础组织及干部队伍建设项目、审计费用项目、基本管理与服务业务费项目等项目预算指标未使用完毕</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rPr>
        <w:t>．政府办公厅(室)及相关机构事务（款）其他政府办公厅(室)及相关机构事务支出（项）。年初预算</w:t>
      </w:r>
      <w:r>
        <w:rPr>
          <w:rFonts w:hint="eastAsia" w:ascii="仿宋_GB2312" w:hAnsi="仿宋_GB2312" w:eastAsia="仿宋_GB2312" w:cs="仿宋_GB2312"/>
          <w:kern w:val="0"/>
          <w:sz w:val="32"/>
          <w:szCs w:val="32"/>
          <w:u w:val="none"/>
          <w:lang w:val="en-US" w:eastAsia="zh-CN"/>
        </w:rPr>
        <w:t>2096.46</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1832.23</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87.4</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根据单位相关工作开展进度情况，产业培育活动经费项目、会议费项目、宣传专项项目等项目预算指标未使用完毕</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rPr>
        <w:t>．发展与改革事务（款）行政运行（项）。年初预算</w:t>
      </w:r>
      <w:r>
        <w:rPr>
          <w:rFonts w:hint="eastAsia" w:ascii="仿宋_GB2312" w:hAnsi="仿宋_GB2312" w:eastAsia="仿宋_GB2312" w:cs="仿宋_GB2312"/>
          <w:kern w:val="0"/>
          <w:sz w:val="32"/>
          <w:szCs w:val="32"/>
          <w:u w:val="none"/>
          <w:lang w:val="en-US" w:eastAsia="zh-CN"/>
        </w:rPr>
        <w:t>1490.95</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374.33</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25.11</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根据单位相关工作开展进度情况，编制产业规划、十五五规划、集团公司编制项目、招商引资政策兑现经费项目、厂房租赁费项目等项目预算指标未使用完毕</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．财政事务（款）行政运行（项）。年初预算</w:t>
      </w:r>
      <w:r>
        <w:rPr>
          <w:rFonts w:hint="eastAsia" w:ascii="仿宋_GB2312" w:hAnsi="仿宋_GB2312" w:eastAsia="仿宋_GB2312" w:cs="仿宋_GB2312"/>
          <w:kern w:val="0"/>
          <w:sz w:val="32"/>
          <w:szCs w:val="32"/>
          <w:u w:val="none"/>
          <w:lang w:val="en-US" w:eastAsia="zh-CN"/>
        </w:rPr>
        <w:t>60.73</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47.68</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78.51</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根据单位相关工作开展进度情况，业务经费项目、会议布置费项目等项目预算指标未使用完毕</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5</w:t>
      </w:r>
      <w:r>
        <w:rPr>
          <w:rFonts w:hint="eastAsia" w:ascii="仿宋_GB2312" w:hAnsi="仿宋_GB2312" w:eastAsia="仿宋_GB2312" w:cs="仿宋_GB2312"/>
          <w:kern w:val="0"/>
          <w:sz w:val="32"/>
          <w:szCs w:val="32"/>
          <w:u w:val="none"/>
        </w:rPr>
        <w:t>．审计事务（款）审计业务（项）。年初预算</w:t>
      </w:r>
      <w:r>
        <w:rPr>
          <w:rFonts w:hint="eastAsia" w:ascii="仿宋_GB2312" w:hAnsi="仿宋_GB2312" w:eastAsia="仿宋_GB2312" w:cs="仿宋_GB2312"/>
          <w:kern w:val="0"/>
          <w:sz w:val="32"/>
          <w:szCs w:val="32"/>
          <w:u w:val="none"/>
          <w:lang w:val="en-US" w:eastAsia="zh-CN"/>
        </w:rPr>
        <w:t>20</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20</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本年度资金使用合理，无增减变化。</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6</w:t>
      </w:r>
      <w:r>
        <w:rPr>
          <w:rFonts w:hint="eastAsia" w:ascii="仿宋_GB2312" w:hAnsi="仿宋_GB2312" w:eastAsia="仿宋_GB2312" w:cs="仿宋_GB2312"/>
          <w:kern w:val="0"/>
          <w:sz w:val="32"/>
          <w:szCs w:val="32"/>
          <w:u w:val="none"/>
        </w:rPr>
        <w:t>．纪检监察事务（款）行政运行（项）。年初预算</w:t>
      </w:r>
      <w:r>
        <w:rPr>
          <w:rFonts w:hint="eastAsia" w:ascii="仿宋_GB2312" w:hAnsi="仿宋_GB2312" w:eastAsia="仿宋_GB2312" w:cs="仿宋_GB2312"/>
          <w:kern w:val="0"/>
          <w:sz w:val="32"/>
          <w:szCs w:val="32"/>
          <w:u w:val="none"/>
          <w:lang w:val="en-US" w:eastAsia="zh-CN"/>
        </w:rPr>
        <w:t>41.16</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26.57</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64.55</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根据单位相关工作开展进度情况，基础组织及干部队伍建设警示教育宣传费项目、购置费项目和专案经费项目等项目预算指标未使用完毕</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7</w:t>
      </w:r>
      <w:r>
        <w:rPr>
          <w:rFonts w:hint="eastAsia" w:ascii="仿宋_GB2312" w:hAnsi="仿宋_GB2312" w:eastAsia="仿宋_GB2312" w:cs="仿宋_GB2312"/>
          <w:kern w:val="0"/>
          <w:sz w:val="32"/>
          <w:szCs w:val="32"/>
          <w:u w:val="none"/>
        </w:rPr>
        <w:t>．商贸事务（款）招商引资（项）。年初预算</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57.33</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57.33</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根据单位相关工作开展进度情况，招商引资经费项目预算指标未使用完毕</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8</w:t>
      </w:r>
      <w:r>
        <w:rPr>
          <w:rFonts w:hint="eastAsia" w:ascii="仿宋_GB2312" w:hAnsi="仿宋_GB2312" w:eastAsia="仿宋_GB2312" w:cs="仿宋_GB2312"/>
          <w:kern w:val="0"/>
          <w:sz w:val="32"/>
          <w:szCs w:val="32"/>
          <w:u w:val="none"/>
        </w:rPr>
        <w:t>．商贸事务（款）其他商贸事务支出（项）。年初预算</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90.9</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90.9</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根据单位相关工作开展进度情况，资金管理申报编制项目预算指标未使用完毕</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9</w:t>
      </w:r>
      <w:r>
        <w:rPr>
          <w:rFonts w:hint="eastAsia" w:ascii="仿宋_GB2312" w:hAnsi="仿宋_GB2312" w:eastAsia="仿宋_GB2312" w:cs="仿宋_GB2312"/>
          <w:kern w:val="0"/>
          <w:sz w:val="32"/>
          <w:szCs w:val="32"/>
          <w:u w:val="none"/>
        </w:rPr>
        <w:t>．其他一般公共服务支出（款）其他一般公共服务支出（项）。年初预算</w:t>
      </w:r>
      <w:r>
        <w:rPr>
          <w:rFonts w:hint="eastAsia" w:ascii="仿宋_GB2312" w:hAnsi="仿宋_GB2312" w:eastAsia="仿宋_GB2312" w:cs="仿宋_GB2312"/>
          <w:kern w:val="0"/>
          <w:sz w:val="32"/>
          <w:szCs w:val="32"/>
          <w:u w:val="none"/>
          <w:lang w:val="en-US" w:eastAsia="zh-CN"/>
        </w:rPr>
        <w:t>12.67</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108.19</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853.91</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根据单位相关工作开展需要，新增综保区产业链飞地资金项目、参加鄂尔多斯国际进口商品及母婴展览会项目预算指标</w:t>
      </w:r>
      <w:r>
        <w:rPr>
          <w:rFonts w:hint="eastAsia" w:ascii="仿宋_GB2312" w:hAnsi="仿宋_GB2312" w:eastAsia="仿宋_GB2312" w:cs="仿宋_GB2312"/>
          <w:kern w:val="0"/>
          <w:sz w:val="32"/>
          <w:szCs w:val="32"/>
          <w:u w:val="none"/>
        </w:rPr>
        <w:t>。</w:t>
      </w:r>
    </w:p>
    <w:p>
      <w:pPr>
        <w:widowControl/>
        <w:spacing w:before="240" w:after="240"/>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rPr>
        <w:t>（二）公共安全（类）</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公共安全（类）决算数为 21.59万元，与年初预算相比增加21.59万元。其中：</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楷体_GB2312" w:hAnsi="楷体_GB2312" w:eastAsia="楷体_GB2312" w:cs="楷体_GB2312"/>
          <w:b w:val="0"/>
          <w:bCs w:val="0"/>
          <w:kern w:val="0"/>
          <w:sz w:val="32"/>
          <w:szCs w:val="32"/>
        </w:rPr>
      </w:pPr>
      <w:r>
        <w:rPr>
          <w:rFonts w:hint="eastAsia" w:ascii="仿宋_GB2312" w:hAnsi="仿宋_GB2312" w:eastAsia="仿宋_GB2312" w:cs="仿宋_GB2312"/>
          <w:kern w:val="0"/>
          <w:sz w:val="32"/>
          <w:szCs w:val="32"/>
          <w:u w:val="none"/>
          <w:lang w:val="en-US" w:eastAsia="zh-CN"/>
        </w:rPr>
        <w:t>国家保密（款）保密管理（项）。年初预算0万元，支出决算21.59万元，较年初预算增加21.59万元。决算数与年初预算数的差异原因：根据单位相关工作开展需要，新增信创统一建设项目预算指标</w:t>
      </w:r>
      <w:r>
        <w:rPr>
          <w:rFonts w:hint="eastAsia" w:ascii="仿宋_GB2312" w:hAnsi="仿宋_GB2312" w:eastAsia="仿宋_GB2312" w:cs="仿宋_GB2312"/>
          <w:kern w:val="0"/>
          <w:sz w:val="32"/>
          <w:szCs w:val="32"/>
          <w:u w:val="none"/>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w:t>
      </w:r>
      <w:r>
        <w:rPr>
          <w:rFonts w:hint="eastAsia" w:ascii="kai_ti_gb2312" w:hAnsi="kai_ti_gb2312" w:eastAsia="宋体" w:cs="kai_ti_gb2312"/>
          <w:b/>
          <w:bCs/>
          <w:kern w:val="0"/>
          <w:sz w:val="27"/>
          <w:szCs w:val="27"/>
          <w:lang w:val="en-US" w:eastAsia="zh-CN"/>
        </w:rPr>
        <w:t xml:space="preserve">  </w:t>
      </w:r>
      <w:r>
        <w:rPr>
          <w:rFonts w:hint="eastAsia" w:ascii="楷体_GB2312" w:hAnsi="楷体_GB2312" w:eastAsia="楷体_GB2312" w:cs="楷体_GB2312"/>
          <w:b w:val="0"/>
          <w:bCs w:val="0"/>
          <w:kern w:val="0"/>
          <w:sz w:val="32"/>
          <w:szCs w:val="32"/>
        </w:rPr>
        <w:t>（</w:t>
      </w:r>
      <w:r>
        <w:rPr>
          <w:rFonts w:hint="eastAsia" w:ascii="楷体_GB2312" w:hAnsi="楷体_GB2312" w:eastAsia="楷体_GB2312" w:cs="楷体_GB2312"/>
          <w:b w:val="0"/>
          <w:bCs w:val="0"/>
          <w:kern w:val="0"/>
          <w:sz w:val="32"/>
          <w:szCs w:val="32"/>
          <w:lang w:val="en-US" w:eastAsia="zh-CN"/>
        </w:rPr>
        <w:t>三</w:t>
      </w:r>
      <w:r>
        <w:rPr>
          <w:rFonts w:hint="eastAsia" w:ascii="楷体_GB2312" w:hAnsi="楷体_GB2312" w:eastAsia="楷体_GB2312" w:cs="楷体_GB2312"/>
          <w:b w:val="0"/>
          <w:bCs w:val="0"/>
          <w:kern w:val="0"/>
          <w:sz w:val="32"/>
          <w:szCs w:val="32"/>
        </w:rPr>
        <w:t>）社会保障和就业支出（类）</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社会保障和就业支出（类）决算数为 30.30万元，与年初预算相比增加 0.70万元。其中：</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1．行政事业单位养老支出（款）行政单位离退休（项）。年初预算0万元，支出决算2.52万元，较年初预算增加2.52万元。决算数与年初预算数的差异原因：根据单位相关工作开展需要，新增退休费项目预算指标</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2．行政事业单位养老支出（款）机关事业单位基本养老保险缴费支出（项）。年初预算26.27万元，支出决算23.19万元，完成年初预算的88.28%。决算数与年初预算数的差异原因：根据单位工作开展进度情况，社保补贴预算项目中养老保险缴费预算指标未使用完毕。</w:t>
      </w:r>
    </w:p>
    <w:p>
      <w:pPr>
        <w:pageBreakBefore w:val="0"/>
        <w:widowControl/>
        <w:kinsoku/>
        <w:wordWrap/>
        <w:overflowPunct/>
        <w:topLinePunct w:val="0"/>
        <w:autoSpaceDE/>
        <w:autoSpaceDN/>
        <w:bidi w:val="0"/>
        <w:adjustRightInd/>
        <w:snapToGrid/>
        <w:spacing w:before="240" w:after="240" w:line="520" w:lineRule="exact"/>
        <w:ind w:firstLine="640" w:firstLineChars="200"/>
      </w:pPr>
      <w:r>
        <w:rPr>
          <w:rFonts w:hint="eastAsia" w:ascii="仿宋_GB2312" w:hAnsi="仿宋_GB2312" w:eastAsia="仿宋_GB2312" w:cs="仿宋_GB2312"/>
          <w:kern w:val="0"/>
          <w:sz w:val="32"/>
          <w:szCs w:val="32"/>
          <w:u w:val="none"/>
          <w:lang w:val="en-US" w:eastAsia="zh-CN"/>
        </w:rPr>
        <w:t>3．其他社会保障和就业支出（款）其他社会保障和就业支出（项）。年初预算3.33万元，支出决算4.58万元，完成年初预算的137.54%。决算数与年初预算数的差异原因：根据单位相关工作开展需要，新增社保补贴预算项目中工伤保险缴费预算指标</w:t>
      </w:r>
      <w:r>
        <w:rPr>
          <w:rFonts w:hint="eastAsia" w:ascii="仿宋_GB2312" w:hAnsi="仿宋_GB2312" w:eastAsia="仿宋_GB2312" w:cs="仿宋_GB2312"/>
          <w:kern w:val="0"/>
          <w:sz w:val="32"/>
          <w:szCs w:val="32"/>
          <w:u w:val="none"/>
        </w:rPr>
        <w:t>。</w:t>
      </w:r>
    </w:p>
    <w:p>
      <w:pPr>
        <w:widowControl/>
        <w:spacing w:before="240" w:after="240"/>
        <w:jc w:val="left"/>
        <w:rPr>
          <w:rFonts w:hint="eastAsia" w:ascii="楷体_GB2312" w:hAnsi="楷体_GB2312" w:eastAsia="楷体_GB2312" w:cs="楷体_GB2312"/>
          <w:b w:val="0"/>
          <w:bCs w:val="0"/>
          <w:kern w:val="0"/>
          <w:sz w:val="32"/>
          <w:szCs w:val="32"/>
        </w:rPr>
      </w:pPr>
      <w:r>
        <w:rPr>
          <w:rFonts w:ascii="fang_song_gb2312" w:hAnsi="fang_song_gb2312" w:eastAsia="fang_song_gb2312" w:cs="fang_song_gb2312"/>
          <w:kern w:val="0"/>
          <w:sz w:val="27"/>
          <w:szCs w:val="27"/>
        </w:rPr>
        <w:t> </w:t>
      </w:r>
      <w:r>
        <w:rPr>
          <w:rFonts w:ascii="kai_ti_gb2312" w:hAnsi="kai_ti_gb2312" w:eastAsia="kai_ti_gb2312" w:cs="kai_ti_gb2312"/>
          <w:b/>
          <w:bCs/>
          <w:kern w:val="0"/>
          <w:sz w:val="27"/>
          <w:szCs w:val="27"/>
        </w:rPr>
        <w:t>   </w:t>
      </w:r>
      <w:r>
        <w:rPr>
          <w:rFonts w:hint="eastAsia" w:ascii="楷体_GB2312" w:hAnsi="楷体_GB2312" w:eastAsia="楷体_GB2312" w:cs="楷体_GB2312"/>
          <w:b w:val="0"/>
          <w:bCs w:val="0"/>
          <w:kern w:val="0"/>
          <w:sz w:val="32"/>
          <w:szCs w:val="32"/>
        </w:rPr>
        <w:t>（</w:t>
      </w:r>
      <w:r>
        <w:rPr>
          <w:rFonts w:hint="eastAsia" w:ascii="楷体_GB2312" w:hAnsi="楷体_GB2312" w:eastAsia="楷体_GB2312" w:cs="楷体_GB2312"/>
          <w:b w:val="0"/>
          <w:bCs w:val="0"/>
          <w:kern w:val="0"/>
          <w:sz w:val="32"/>
          <w:szCs w:val="32"/>
          <w:lang w:val="en-US" w:eastAsia="zh-CN"/>
        </w:rPr>
        <w:t>四</w:t>
      </w:r>
      <w:r>
        <w:rPr>
          <w:rFonts w:hint="eastAsia" w:ascii="楷体_GB2312" w:hAnsi="楷体_GB2312" w:eastAsia="楷体_GB2312" w:cs="楷体_GB2312"/>
          <w:b w:val="0"/>
          <w:bCs w:val="0"/>
          <w:kern w:val="0"/>
          <w:sz w:val="32"/>
          <w:szCs w:val="32"/>
        </w:rPr>
        <w:t>）卫生健康支出（类）</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卫生健康支出类决算数为 12.4万元，与年初预算相比减少2.66万元。其中：</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1．行政事业单位医疗（款）行政单位医疗（项）。年初预算11.23万元，支出决算9.23万元，完成年初预算的82.19%。决算数与年初预算数的差异原因：根据单位工作开展进度情况，社保补贴预算项目中医疗保险缴费预算指标未使用完毕。</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2．行政事业单位医疗（款）公务员医疗补助（项）。年初预算3.83万元，支出决算3.17万元，完成年初预算的82.77%。决算数与年初预算数的差异原因：根据单位工作开展进度情况，社保补贴预算项目中公务员医补保险缴费预算指标未使用完毕。</w:t>
      </w:r>
    </w:p>
    <w:p>
      <w:pPr>
        <w:widowControl/>
        <w:spacing w:before="240" w:after="240"/>
        <w:ind w:firstLine="320" w:firstLineChars="100"/>
        <w:jc w:val="left"/>
        <w:rPr>
          <w:rFonts w:hint="eastAsia" w:ascii="楷体_GB2312" w:hAnsi="楷体_GB2312" w:eastAsia="楷体_GB2312" w:cs="楷体_GB2312"/>
          <w:b w:val="0"/>
          <w:bCs w:val="0"/>
          <w:kern w:val="0"/>
          <w:sz w:val="32"/>
          <w:szCs w:val="32"/>
        </w:rPr>
      </w:pPr>
      <w:r>
        <w:rPr>
          <w:rFonts w:hint="eastAsia" w:ascii="楷体_GB2312" w:hAnsi="楷体_GB2312" w:eastAsia="楷体_GB2312" w:cs="楷体_GB2312"/>
          <w:b w:val="0"/>
          <w:bCs w:val="0"/>
          <w:kern w:val="0"/>
          <w:sz w:val="32"/>
          <w:szCs w:val="32"/>
        </w:rPr>
        <w:t>（</w:t>
      </w:r>
      <w:r>
        <w:rPr>
          <w:rFonts w:hint="eastAsia" w:ascii="楷体_GB2312" w:hAnsi="楷体_GB2312" w:eastAsia="楷体_GB2312" w:cs="楷体_GB2312"/>
          <w:b w:val="0"/>
          <w:bCs w:val="0"/>
          <w:kern w:val="0"/>
          <w:sz w:val="32"/>
          <w:szCs w:val="32"/>
          <w:lang w:val="en-US" w:eastAsia="zh-CN"/>
        </w:rPr>
        <w:t>五</w:t>
      </w:r>
      <w:r>
        <w:rPr>
          <w:rFonts w:hint="eastAsia" w:ascii="楷体_GB2312" w:hAnsi="楷体_GB2312" w:eastAsia="楷体_GB2312" w:cs="楷体_GB2312"/>
          <w:b w:val="0"/>
          <w:bCs w:val="0"/>
          <w:kern w:val="0"/>
          <w:sz w:val="32"/>
          <w:szCs w:val="32"/>
        </w:rPr>
        <w:t>）节能环保支出（类）</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节能环保支出类决算数为5.39万元，与年初预算相比减少66.61万元。其中：</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1.环境保护管理事务（款）生态环境保护宣传（项）。年初预算6万元，支出决算5万元，完成年初预算的83.33%。决算数与年初预算数的差异原因：根据单位工作开展进度情况，生态环境工作经费项目预算指标未使用完毕。</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2.环境保护管理事务（款）其他环境保护管理事务支出（项）。年初预算0万元，支出决算0.4万元，较年初预算增加0.4万元。决算数与年初预算数的差异原因：根据单位工作开展进度情况，预算调剂调增生态环境工作经费项目预算指标。</w:t>
      </w:r>
    </w:p>
    <w:p>
      <w:pPr>
        <w:widowControl/>
        <w:spacing w:before="240" w:after="240"/>
        <w:ind w:firstLine="320" w:firstLineChars="100"/>
        <w:jc w:val="left"/>
        <w:rPr>
          <w:rFonts w:hint="eastAsia" w:ascii="楷体_GB2312" w:hAnsi="楷体_GB2312" w:eastAsia="楷体_GB2312" w:cs="楷体_GB2312"/>
          <w:b w:val="0"/>
          <w:bCs w:val="0"/>
          <w:kern w:val="0"/>
          <w:sz w:val="32"/>
          <w:szCs w:val="32"/>
        </w:rPr>
      </w:pPr>
      <w:r>
        <w:rPr>
          <w:rFonts w:hint="eastAsia" w:ascii="楷体_GB2312" w:hAnsi="楷体_GB2312" w:eastAsia="楷体_GB2312" w:cs="楷体_GB2312"/>
          <w:b w:val="0"/>
          <w:bCs w:val="0"/>
          <w:kern w:val="0"/>
          <w:sz w:val="32"/>
          <w:szCs w:val="32"/>
        </w:rPr>
        <w:t>（</w:t>
      </w:r>
      <w:r>
        <w:rPr>
          <w:rFonts w:hint="eastAsia" w:ascii="楷体_GB2312" w:hAnsi="楷体_GB2312" w:eastAsia="楷体_GB2312" w:cs="楷体_GB2312"/>
          <w:b w:val="0"/>
          <w:bCs w:val="0"/>
          <w:kern w:val="0"/>
          <w:sz w:val="32"/>
          <w:szCs w:val="32"/>
          <w:lang w:val="en-US" w:eastAsia="zh-CN"/>
        </w:rPr>
        <w:t>六</w:t>
      </w:r>
      <w:r>
        <w:rPr>
          <w:rFonts w:hint="eastAsia" w:ascii="楷体_GB2312" w:hAnsi="楷体_GB2312" w:eastAsia="楷体_GB2312" w:cs="楷体_GB2312"/>
          <w:b w:val="0"/>
          <w:bCs w:val="0"/>
          <w:kern w:val="0"/>
          <w:sz w:val="32"/>
          <w:szCs w:val="32"/>
        </w:rPr>
        <w:t>）城乡社区支出（类）</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城乡社区支出类决算数为6929.09万元，与年初预算相比增加3289.09万元。其中：</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1.城乡社区管理事务（款）行政运行（项）。年初预算35万元，支出决算31.69万元，完成年初预算的90.54%。决算数与年初预算数的差异原因：根据单位工作开展进度情况，建设管理局报刊费及书籍项目、宣传费用项目和会议费项目等项目预算指标未使用完毕。</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default"/>
          <w:lang w:val="en-US" w:eastAsia="zh-CN"/>
        </w:rPr>
      </w:pPr>
      <w:r>
        <w:rPr>
          <w:rFonts w:hint="eastAsia" w:ascii="仿宋_GB2312" w:hAnsi="仿宋_GB2312" w:eastAsia="仿宋_GB2312" w:cs="仿宋_GB2312"/>
          <w:kern w:val="0"/>
          <w:sz w:val="32"/>
          <w:szCs w:val="32"/>
          <w:u w:val="none"/>
          <w:lang w:val="en-US" w:eastAsia="zh-CN"/>
        </w:rPr>
        <w:t>2.城乡社区管理事务（款）城管执法（项）。年初预算0万元，支出决算14.65万元，较年初预算增加14.65万元。决算数与年初预算数的差异原因：根据单位工作开展进度情况，预算调剂调增空港执法中队工作经费项目预算指标14.65万元。</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3.城乡社区管理事务（款）其他城乡社区管理事务支出（项）。年初预算0万元，支出决算65.64万元，较年初预算增加65.64万元。决算数与年初预算数的差异原因：根据单位相关工作开展需要，新增2024年市本级第二批供热保障资金项目预算指标65.64万元。</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ascii="Times New Roman" w:hAnsi="Times New Roman" w:eastAsia="Times New Roman" w:cs="Times New Roman"/>
          <w:kern w:val="0"/>
          <w:sz w:val="24"/>
          <w:u w:val="none"/>
        </w:rPr>
      </w:pPr>
      <w:r>
        <w:rPr>
          <w:rFonts w:hint="eastAsia" w:ascii="仿宋_GB2312" w:hAnsi="仿宋_GB2312" w:eastAsia="仿宋_GB2312" w:cs="仿宋_GB2312"/>
          <w:kern w:val="0"/>
          <w:sz w:val="32"/>
          <w:szCs w:val="32"/>
          <w:u w:val="none"/>
          <w:lang w:val="en-US" w:eastAsia="zh-CN"/>
        </w:rPr>
        <w:t>4．城乡社区公共设施（款）其他城乡社区公共设施支出（项）。年初预算3310万元，支出决算5846.98万元，完成年初预算的176.65%。决算数与年初预算数的差异原因：根据单位相关工作开展需要，新增扫雪除冰车辆设备采购项目预算指标375.61万元、2024年第四批新增地方政府一般债券资金项目预算指标3000万元。</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5．城乡社区环境卫生（款）城乡社区环境卫生（项）。年初预算295万元，支出决算970.12万元，完成年初预算的328.81%。决算数与年初预算数的差异原因：根据单位相关工作开展需要，主要为新增扫雪除冰车辆设备采购项目预算指标96.5万元、2024年第四批新增地方政府一般债券资金项目预算指标600万元。</w:t>
      </w:r>
    </w:p>
    <w:p>
      <w:pPr>
        <w:widowControl/>
        <w:spacing w:before="240" w:after="240"/>
        <w:ind w:firstLine="320" w:firstLineChars="100"/>
        <w:jc w:val="left"/>
        <w:rPr>
          <w:rFonts w:hint="eastAsia" w:ascii="楷体_GB2312" w:hAnsi="楷体_GB2312" w:eastAsia="楷体_GB2312" w:cs="楷体_GB2312"/>
          <w:b w:val="0"/>
          <w:bCs w:val="0"/>
          <w:kern w:val="0"/>
          <w:sz w:val="32"/>
          <w:szCs w:val="32"/>
        </w:rPr>
      </w:pPr>
      <w:r>
        <w:rPr>
          <w:rFonts w:hint="eastAsia" w:ascii="楷体_GB2312" w:hAnsi="楷体_GB2312" w:eastAsia="楷体_GB2312" w:cs="楷体_GB2312"/>
          <w:b w:val="0"/>
          <w:bCs w:val="0"/>
          <w:kern w:val="0"/>
          <w:sz w:val="32"/>
          <w:szCs w:val="32"/>
        </w:rPr>
        <w:t>（</w:t>
      </w:r>
      <w:r>
        <w:rPr>
          <w:rFonts w:hint="eastAsia" w:ascii="楷体_GB2312" w:hAnsi="楷体_GB2312" w:eastAsia="楷体_GB2312" w:cs="楷体_GB2312"/>
          <w:b w:val="0"/>
          <w:bCs w:val="0"/>
          <w:kern w:val="0"/>
          <w:sz w:val="32"/>
          <w:szCs w:val="32"/>
          <w:lang w:val="en-US" w:eastAsia="zh-CN"/>
        </w:rPr>
        <w:t>七</w:t>
      </w:r>
      <w:r>
        <w:rPr>
          <w:rFonts w:hint="eastAsia" w:ascii="楷体_GB2312" w:hAnsi="楷体_GB2312" w:eastAsia="楷体_GB2312" w:cs="楷体_GB2312"/>
          <w:b w:val="0"/>
          <w:bCs w:val="0"/>
          <w:kern w:val="0"/>
          <w:sz w:val="32"/>
          <w:szCs w:val="32"/>
        </w:rPr>
        <w:t>）交通运输支出（类）</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交通运输支出类决算数为711万元，与年初预算相比增加711万元。其中：</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公路水路运输（款）口岸建设（项）。年初预算0万元，支出决算711万元，较年初预算增加711万元。决算数与年初预算数的差异原因：根据单位相关工作开展需要，新增2024口岸经济发展专项资金项目预算指标711万元。</w:t>
      </w:r>
    </w:p>
    <w:p>
      <w:pPr>
        <w:widowControl/>
        <w:spacing w:before="240" w:after="240"/>
        <w:ind w:firstLine="320" w:firstLineChars="100"/>
        <w:jc w:val="left"/>
        <w:rPr>
          <w:rFonts w:hint="eastAsia" w:ascii="楷体_GB2312" w:hAnsi="楷体_GB2312" w:eastAsia="楷体_GB2312" w:cs="楷体_GB2312"/>
          <w:b w:val="0"/>
          <w:bCs w:val="0"/>
          <w:kern w:val="0"/>
          <w:sz w:val="32"/>
          <w:szCs w:val="32"/>
        </w:rPr>
      </w:pPr>
      <w:r>
        <w:rPr>
          <w:rFonts w:hint="eastAsia" w:ascii="楷体_GB2312" w:hAnsi="楷体_GB2312" w:eastAsia="楷体_GB2312" w:cs="楷体_GB2312"/>
          <w:b w:val="0"/>
          <w:bCs w:val="0"/>
          <w:kern w:val="0"/>
          <w:sz w:val="32"/>
          <w:szCs w:val="32"/>
        </w:rPr>
        <w:t>（</w:t>
      </w:r>
      <w:r>
        <w:rPr>
          <w:rFonts w:hint="eastAsia" w:ascii="楷体_GB2312" w:hAnsi="楷体_GB2312" w:eastAsia="楷体_GB2312" w:cs="楷体_GB2312"/>
          <w:b w:val="0"/>
          <w:bCs w:val="0"/>
          <w:kern w:val="0"/>
          <w:sz w:val="32"/>
          <w:szCs w:val="32"/>
          <w:lang w:val="en-US" w:eastAsia="zh-CN"/>
        </w:rPr>
        <w:t>八</w:t>
      </w:r>
      <w:r>
        <w:rPr>
          <w:rFonts w:hint="eastAsia" w:ascii="楷体_GB2312" w:hAnsi="楷体_GB2312" w:eastAsia="楷体_GB2312" w:cs="楷体_GB2312"/>
          <w:b w:val="0"/>
          <w:bCs w:val="0"/>
          <w:kern w:val="0"/>
          <w:sz w:val="32"/>
          <w:szCs w:val="32"/>
        </w:rPr>
        <w:t>）资源勘探工业信息等支出（类）</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资源勘探工业信息等支出类决算数为54万元，与年初预算相比增加54万元。其中：</w:t>
      </w:r>
    </w:p>
    <w:p>
      <w:pPr>
        <w:pageBreakBefore w:val="0"/>
        <w:widowControl/>
        <w:kinsoku/>
        <w:wordWrap/>
        <w:overflowPunct/>
        <w:topLinePunct w:val="0"/>
        <w:autoSpaceDE/>
        <w:autoSpaceDN/>
        <w:bidi w:val="0"/>
        <w:adjustRightInd/>
        <w:snapToGrid/>
        <w:spacing w:before="240" w:after="240" w:line="520" w:lineRule="exact"/>
        <w:ind w:firstLine="640" w:firstLineChars="200"/>
      </w:pPr>
      <w:r>
        <w:rPr>
          <w:rFonts w:hint="eastAsia" w:ascii="仿宋_GB2312" w:hAnsi="仿宋_GB2312" w:eastAsia="仿宋_GB2312" w:cs="仿宋_GB2312"/>
          <w:kern w:val="0"/>
          <w:sz w:val="32"/>
          <w:szCs w:val="32"/>
          <w:u w:val="none"/>
          <w:lang w:val="en-US" w:eastAsia="zh-CN"/>
        </w:rPr>
        <w:t>其他资源勘探工业信息等支出（款）其他资源勘探工业信息等支出（项）。年初预算0万元，支出决算54万元，较年初预算增加54万元。决算数与年初预算数的差异原因：根据单位相关工作开展需要，新增2023年计划外5G基站建设项目预算指标54万元。</w:t>
      </w:r>
    </w:p>
    <w:p>
      <w:pPr>
        <w:widowControl/>
        <w:spacing w:before="240" w:after="240"/>
        <w:ind w:firstLine="320" w:firstLineChars="100"/>
        <w:jc w:val="left"/>
        <w:rPr>
          <w:rFonts w:hint="eastAsia" w:ascii="楷体_GB2312" w:hAnsi="楷体_GB2312" w:eastAsia="楷体_GB2312" w:cs="楷体_GB2312"/>
          <w:b w:val="0"/>
          <w:bCs w:val="0"/>
          <w:kern w:val="0"/>
          <w:sz w:val="32"/>
          <w:szCs w:val="32"/>
        </w:rPr>
      </w:pPr>
      <w:r>
        <w:rPr>
          <w:rFonts w:hint="eastAsia" w:ascii="楷体_GB2312" w:hAnsi="楷体_GB2312" w:eastAsia="楷体_GB2312" w:cs="楷体_GB2312"/>
          <w:b w:val="0"/>
          <w:bCs w:val="0"/>
          <w:kern w:val="0"/>
          <w:sz w:val="32"/>
          <w:szCs w:val="32"/>
        </w:rPr>
        <w:t>（</w:t>
      </w:r>
      <w:r>
        <w:rPr>
          <w:rFonts w:hint="eastAsia" w:ascii="楷体_GB2312" w:hAnsi="楷体_GB2312" w:eastAsia="楷体_GB2312" w:cs="楷体_GB2312"/>
          <w:b w:val="0"/>
          <w:bCs w:val="0"/>
          <w:kern w:val="0"/>
          <w:sz w:val="32"/>
          <w:szCs w:val="32"/>
          <w:lang w:val="en-US" w:eastAsia="zh-CN"/>
        </w:rPr>
        <w:t>九</w:t>
      </w:r>
      <w:r>
        <w:rPr>
          <w:rFonts w:hint="eastAsia" w:ascii="楷体_GB2312" w:hAnsi="楷体_GB2312" w:eastAsia="楷体_GB2312" w:cs="楷体_GB2312"/>
          <w:b w:val="0"/>
          <w:bCs w:val="0"/>
          <w:kern w:val="0"/>
          <w:sz w:val="32"/>
          <w:szCs w:val="32"/>
        </w:rPr>
        <w:t>）商业服务业等支出（类）</w:t>
      </w:r>
    </w:p>
    <w:p>
      <w:pPr>
        <w:widowControl/>
        <w:spacing w:before="240" w:after="240"/>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商业服务业等支出类决算数为2686.4万元，与年初预算相比增加2638.76万元。其中：</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1.涉外发展服务支出（款）其他涉外发展服务支出（项）。年初预算0万元，支出决算667.05万元，较年初预算增加667.05万元。决算数与年初预算数的差异原因：根据单位相关工作开展需要，新增2023年第四批中央外经贸发展专项资金项目预算指标267.05万元、中央外经贸发展专项资金（外贸综合服务企业）项目预算指标100万元和2024年度第三批中央外经贸发展专项资金（外贸提质增效）预算指标300万元。</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2.其他商业服务业等支出（款）其他商业服务业等支出（项）。年初预算47.64万元，支出决算2019.35万元，完成年初预算的4238.77%。决算数与年初预算数的差异原因：根据单位相关工作开展需要，主要为新增2024年综保区产业发展及自贸区申建经费项目预算指标2000万元。</w:t>
      </w:r>
    </w:p>
    <w:p>
      <w:pPr>
        <w:widowControl/>
        <w:spacing w:before="240" w:after="240"/>
        <w:ind w:firstLine="320" w:firstLineChars="100"/>
        <w:jc w:val="left"/>
        <w:rPr>
          <w:rFonts w:hint="eastAsia" w:ascii="楷体_GB2312" w:hAnsi="楷体_GB2312" w:eastAsia="楷体_GB2312" w:cs="楷体_GB2312"/>
          <w:b w:val="0"/>
          <w:bCs w:val="0"/>
          <w:kern w:val="0"/>
          <w:sz w:val="32"/>
          <w:szCs w:val="32"/>
        </w:rPr>
      </w:pPr>
      <w:r>
        <w:rPr>
          <w:rFonts w:hint="eastAsia" w:ascii="楷体_GB2312" w:hAnsi="楷体_GB2312" w:eastAsia="楷体_GB2312" w:cs="楷体_GB2312"/>
          <w:b w:val="0"/>
          <w:bCs w:val="0"/>
          <w:kern w:val="0"/>
          <w:sz w:val="32"/>
          <w:szCs w:val="32"/>
        </w:rPr>
        <w:t>（</w:t>
      </w:r>
      <w:r>
        <w:rPr>
          <w:rFonts w:hint="eastAsia" w:ascii="楷体_GB2312" w:hAnsi="楷体_GB2312" w:eastAsia="楷体_GB2312" w:cs="楷体_GB2312"/>
          <w:b w:val="0"/>
          <w:bCs w:val="0"/>
          <w:kern w:val="0"/>
          <w:sz w:val="32"/>
          <w:szCs w:val="32"/>
          <w:lang w:val="en-US" w:eastAsia="zh-CN"/>
        </w:rPr>
        <w:t>十</w:t>
      </w:r>
      <w:r>
        <w:rPr>
          <w:rFonts w:hint="eastAsia" w:ascii="楷体_GB2312" w:hAnsi="楷体_GB2312" w:eastAsia="楷体_GB2312" w:cs="楷体_GB2312"/>
          <w:b w:val="0"/>
          <w:bCs w:val="0"/>
          <w:kern w:val="0"/>
          <w:sz w:val="32"/>
          <w:szCs w:val="32"/>
        </w:rPr>
        <w:t>）自然资源海洋气象等支出（类）</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自然资源海洋气象等支出类决算数为20.84万元，与年初预算相比增加20.84万元。其中：</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kai_ti_gb2312" w:hAnsi="kai_ti_gb2312" w:eastAsia="宋体" w:cs="kai_ti_gb2312"/>
          <w:b/>
          <w:bCs/>
          <w:kern w:val="0"/>
          <w:sz w:val="27"/>
          <w:szCs w:val="27"/>
          <w:lang w:val="en-US" w:eastAsia="zh-CN"/>
        </w:rPr>
      </w:pPr>
      <w:r>
        <w:rPr>
          <w:rFonts w:hint="eastAsia" w:ascii="仿宋_GB2312" w:hAnsi="仿宋_GB2312" w:eastAsia="仿宋_GB2312" w:cs="仿宋_GB2312"/>
          <w:kern w:val="0"/>
          <w:sz w:val="32"/>
          <w:szCs w:val="32"/>
          <w:u w:val="none"/>
          <w:lang w:val="en-US" w:eastAsia="zh-CN"/>
        </w:rPr>
        <w:t>自然资源事务（款）行政运行（项）。年初预算0万元，支出决算20.84万元，较年初预算增加20.84万元。决算数与年初预算数的差异原因：根据单位工作开展进度情况，新增自然资源局公用经费项目预算指标3.57万元、新增自然资源局印刷装订费目预算指标3万元、新增自然资源局宣传专项项目预算指标4.73万元和新增自然资源局承接权限下放相关设备采购费用项目预算指标9.55万元。</w:t>
      </w:r>
    </w:p>
    <w:p>
      <w:pPr>
        <w:widowControl/>
        <w:spacing w:before="240" w:after="240"/>
        <w:ind w:firstLine="320" w:firstLineChars="100"/>
        <w:jc w:val="left"/>
        <w:rPr>
          <w:rFonts w:hint="eastAsia" w:ascii="楷体_GB2312" w:hAnsi="楷体_GB2312" w:eastAsia="楷体_GB2312" w:cs="楷体_GB2312"/>
          <w:b w:val="0"/>
          <w:bCs w:val="0"/>
          <w:kern w:val="0"/>
          <w:sz w:val="32"/>
          <w:szCs w:val="32"/>
        </w:rPr>
      </w:pPr>
    </w:p>
    <w:p>
      <w:pPr>
        <w:widowControl/>
        <w:spacing w:before="240" w:after="240"/>
        <w:ind w:firstLine="320" w:firstLineChars="100"/>
        <w:jc w:val="left"/>
        <w:rPr>
          <w:rFonts w:hint="eastAsia" w:ascii="楷体_GB2312" w:hAnsi="楷体_GB2312" w:eastAsia="楷体_GB2312" w:cs="楷体_GB2312"/>
          <w:b w:val="0"/>
          <w:bCs w:val="0"/>
          <w:kern w:val="0"/>
          <w:sz w:val="32"/>
          <w:szCs w:val="32"/>
        </w:rPr>
      </w:pPr>
    </w:p>
    <w:p>
      <w:pPr>
        <w:widowControl/>
        <w:spacing w:before="240" w:after="240"/>
        <w:ind w:firstLine="320" w:firstLineChars="100"/>
        <w:jc w:val="left"/>
        <w:rPr>
          <w:rFonts w:hint="eastAsia" w:ascii="楷体_GB2312" w:hAnsi="楷体_GB2312" w:eastAsia="楷体_GB2312" w:cs="楷体_GB2312"/>
          <w:b w:val="0"/>
          <w:bCs w:val="0"/>
          <w:kern w:val="0"/>
          <w:sz w:val="32"/>
          <w:szCs w:val="32"/>
        </w:rPr>
      </w:pPr>
      <w:r>
        <w:rPr>
          <w:rFonts w:hint="eastAsia" w:ascii="楷体_GB2312" w:hAnsi="楷体_GB2312" w:eastAsia="楷体_GB2312" w:cs="楷体_GB2312"/>
          <w:b w:val="0"/>
          <w:bCs w:val="0"/>
          <w:kern w:val="0"/>
          <w:sz w:val="32"/>
          <w:szCs w:val="32"/>
        </w:rPr>
        <w:t>（</w:t>
      </w:r>
      <w:r>
        <w:rPr>
          <w:rFonts w:hint="eastAsia" w:ascii="楷体_GB2312" w:hAnsi="楷体_GB2312" w:eastAsia="楷体_GB2312" w:cs="楷体_GB2312"/>
          <w:b w:val="0"/>
          <w:bCs w:val="0"/>
          <w:kern w:val="0"/>
          <w:sz w:val="32"/>
          <w:szCs w:val="32"/>
          <w:lang w:val="en-US" w:eastAsia="zh-CN"/>
        </w:rPr>
        <w:t>十一</w:t>
      </w:r>
      <w:r>
        <w:rPr>
          <w:rFonts w:hint="eastAsia" w:ascii="楷体_GB2312" w:hAnsi="楷体_GB2312" w:eastAsia="楷体_GB2312" w:cs="楷体_GB2312"/>
          <w:b w:val="0"/>
          <w:bCs w:val="0"/>
          <w:kern w:val="0"/>
          <w:sz w:val="32"/>
          <w:szCs w:val="32"/>
        </w:rPr>
        <w:t>）住房保障支出（类）</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住房保障支出类决算数为 25.66万元，与年初预算相比减少1.58万元。其中：</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住房改革支出（款）住房公积金（项）。年初预算27.24万元，支出决算25.66万元，完成年初预算的94.2%。决算数与年初预算数的差异原因：根据单位工作开展进度情况，住房公积金预算项目指标未使用完毕。</w:t>
      </w:r>
    </w:p>
    <w:p>
      <w:pPr>
        <w:widowControl/>
        <w:spacing w:before="240" w:after="240"/>
        <w:ind w:firstLine="320" w:firstLineChars="100"/>
        <w:jc w:val="left"/>
        <w:rPr>
          <w:rFonts w:hint="eastAsia" w:ascii="楷体_GB2312" w:hAnsi="楷体_GB2312" w:eastAsia="楷体_GB2312" w:cs="楷体_GB2312"/>
          <w:b w:val="0"/>
          <w:bCs w:val="0"/>
          <w:kern w:val="0"/>
          <w:sz w:val="32"/>
          <w:szCs w:val="32"/>
        </w:rPr>
      </w:pPr>
      <w:r>
        <w:rPr>
          <w:rFonts w:hint="eastAsia" w:ascii="楷体_GB2312" w:hAnsi="楷体_GB2312" w:eastAsia="楷体_GB2312" w:cs="楷体_GB2312"/>
          <w:b w:val="0"/>
          <w:bCs w:val="0"/>
          <w:kern w:val="0"/>
          <w:sz w:val="32"/>
          <w:szCs w:val="32"/>
        </w:rPr>
        <w:t>（</w:t>
      </w:r>
      <w:r>
        <w:rPr>
          <w:rFonts w:hint="eastAsia" w:ascii="楷体_GB2312" w:hAnsi="楷体_GB2312" w:eastAsia="楷体_GB2312" w:cs="楷体_GB2312"/>
          <w:b w:val="0"/>
          <w:bCs w:val="0"/>
          <w:kern w:val="0"/>
          <w:sz w:val="32"/>
          <w:szCs w:val="32"/>
          <w:lang w:val="en-US" w:eastAsia="zh-CN"/>
        </w:rPr>
        <w:t>十二</w:t>
      </w:r>
      <w:r>
        <w:rPr>
          <w:rFonts w:hint="eastAsia" w:ascii="楷体_GB2312" w:hAnsi="楷体_GB2312" w:eastAsia="楷体_GB2312" w:cs="楷体_GB2312"/>
          <w:b w:val="0"/>
          <w:bCs w:val="0"/>
          <w:kern w:val="0"/>
          <w:sz w:val="32"/>
          <w:szCs w:val="32"/>
        </w:rPr>
        <w:t>）灾害防治及应急管理支出（类）</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灾害防治及应急管理支出类决算数为 4861.57万元，与年初预算相比增加4719.77万元。其中：</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1.应急管理事务（款）安全监管（项）。年初预算140万元，支出决算60.29万元，完成年初预算的43.06%。决算数与年初预算数的差异原因：根据单位工作开展进度情况，生态应急办公共安全（应急管理）专项项目预算指标未使用完毕。</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2.应急管理事务（款）应急管理（项）。年初预算1.8元，支出决算1.28万元，完成年初预算的71.11%。决算数与年初预算数的差异原因：根据单位工作开展进度情况，生态环境和应急管理办公室公用经费项目预算指标未使用完毕。</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default"/>
          <w:lang w:val="en-US" w:eastAsia="zh-CN"/>
        </w:rPr>
      </w:pPr>
      <w:r>
        <w:rPr>
          <w:rFonts w:hint="eastAsia" w:ascii="仿宋_GB2312" w:hAnsi="仿宋_GB2312" w:eastAsia="仿宋_GB2312" w:cs="仿宋_GB2312"/>
          <w:b w:val="0"/>
          <w:bCs w:val="0"/>
          <w:kern w:val="0"/>
          <w:sz w:val="32"/>
          <w:szCs w:val="32"/>
          <w:u w:val="none"/>
          <w:lang w:val="en-US" w:eastAsia="zh-CN" w:bidi="ar-SA"/>
        </w:rPr>
        <w:t>3.其他灾害防治及应急管理支出（款）其他灾害防治及应急管理支出（项）。年初预算0万元，支出决算4800万元，较年初预算增加4800万元。决算数与年初预算数的差异原因：根据单位工作开展进度情况，新增建设管理局应急物资储备库二期建设资金项目预算指标4800万元。</w:t>
      </w:r>
    </w:p>
    <w:p>
      <w:pPr>
        <w:widowControl/>
        <w:spacing w:before="240" w:after="240"/>
        <w:jc w:val="left"/>
        <w:rPr>
          <w:rFonts w:hint="eastAsia" w:ascii="黑体" w:hAnsi="黑体" w:eastAsia="黑体" w:cs="黑体"/>
          <w:b/>
          <w:bCs/>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hint="eastAsia" w:ascii="黑体" w:hAnsi="黑体" w:eastAsia="黑体" w:cs="黑体"/>
          <w:b/>
          <w:bCs/>
          <w:kern w:val="0"/>
          <w:sz w:val="32"/>
          <w:szCs w:val="32"/>
        </w:rPr>
        <w:t xml:space="preserve"> 六、一般公共预算财政拨款基本支出决算情况说明</w:t>
      </w:r>
    </w:p>
    <w:p>
      <w:pPr>
        <w:widowControl/>
        <w:spacing w:before="240" w:after="240"/>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内蒙古自治区鄂尔多斯空港物流园区管理委员会 2024年度一般公共预算财政拨款基本支出决算 1009.41万元，其中：</w:t>
      </w:r>
    </w:p>
    <w:p>
      <w:pPr>
        <w:widowControl/>
        <w:spacing w:before="240" w:after="240"/>
        <w:rPr>
          <w:rFonts w:ascii="fang_song_gb2312" w:hAnsi="fang_song_gb2312" w:eastAsia="fang_song_gb2312" w:cs="fang_song_gb2312"/>
          <w:kern w:val="0"/>
          <w:sz w:val="27"/>
          <w:szCs w:val="27"/>
          <w:u w:val="none"/>
        </w:rPr>
      </w:pPr>
      <w:r>
        <w:rPr>
          <w:rFonts w:ascii="fang_song_gb2312" w:hAnsi="fang_song_gb2312" w:eastAsia="fang_song_gb2312" w:cs="fang_song_gb2312"/>
          <w:b/>
          <w:bCs/>
          <w:kern w:val="0"/>
          <w:sz w:val="27"/>
          <w:szCs w:val="27"/>
          <w:u w:val="none"/>
        </w:rPr>
        <w:t xml:space="preserve">    </w:t>
      </w:r>
      <w:r>
        <w:rPr>
          <w:rFonts w:hint="eastAsia" w:ascii="楷体_GB2312" w:hAnsi="楷体_GB2312" w:eastAsia="楷体_GB2312" w:cs="楷体_GB2312"/>
          <w:b w:val="0"/>
          <w:bCs w:val="0"/>
          <w:kern w:val="0"/>
          <w:sz w:val="32"/>
          <w:szCs w:val="32"/>
          <w:u w:val="none"/>
        </w:rPr>
        <w:t>（一）人员经费 410.87万元。</w:t>
      </w:r>
      <w:r>
        <w:rPr>
          <w:rFonts w:hint="eastAsia" w:ascii="仿宋_GB2312" w:hAnsi="仿宋_GB2312" w:eastAsia="仿宋_GB2312" w:cs="仿宋_GB2312"/>
          <w:kern w:val="0"/>
          <w:sz w:val="32"/>
          <w:szCs w:val="32"/>
          <w:u w:val="none"/>
          <w:lang w:val="en-US" w:eastAsia="zh-CN"/>
        </w:rPr>
        <w:t>主要包括：基本工资65.88万元、津贴补贴115.25万元、奖金20.86万元、机关事业单位基本养老保险缴费23.19万元、职工基本医疗保险缴费9.23万元、公务员医疗补助缴费3.17万元、其他社会保障缴费4.58万元、住房公积金25.66万元、其他工资福利支出140.53万元、退休费2.52万元。</w:t>
      </w:r>
    </w:p>
    <w:p>
      <w:pPr>
        <w:widowControl/>
        <w:spacing w:before="240" w:after="240"/>
        <w:rPr>
          <w:rFonts w:hint="eastAsia" w:ascii="仿宋_GB2312" w:hAnsi="仿宋_GB2312" w:eastAsia="仿宋_GB2312" w:cs="仿宋_GB2312"/>
          <w:kern w:val="0"/>
          <w:sz w:val="32"/>
          <w:szCs w:val="32"/>
          <w:u w:val="none"/>
          <w:lang w:val="en-US" w:eastAsia="zh-CN"/>
        </w:rPr>
      </w:pPr>
      <w:r>
        <w:rPr>
          <w:rFonts w:ascii="fang_song_gb2312" w:hAnsi="fang_song_gb2312" w:eastAsia="fang_song_gb2312" w:cs="fang_song_gb2312"/>
          <w:b/>
          <w:bCs/>
          <w:kern w:val="0"/>
          <w:sz w:val="27"/>
          <w:szCs w:val="27"/>
        </w:rPr>
        <w:t>   </w:t>
      </w:r>
      <w:r>
        <w:rPr>
          <w:rFonts w:hint="eastAsia" w:ascii="楷体_GB2312" w:hAnsi="楷体_GB2312" w:eastAsia="楷体_GB2312" w:cs="楷体_GB2312"/>
          <w:b w:val="0"/>
          <w:bCs w:val="0"/>
          <w:kern w:val="0"/>
          <w:sz w:val="32"/>
          <w:szCs w:val="32"/>
          <w:u w:val="none"/>
        </w:rPr>
        <w:t xml:space="preserve"> （二）公用经费598.54万元。</w:t>
      </w:r>
      <w:r>
        <w:rPr>
          <w:rFonts w:hint="eastAsia" w:ascii="仿宋_GB2312" w:hAnsi="仿宋_GB2312" w:eastAsia="仿宋_GB2312" w:cs="仿宋_GB2312"/>
          <w:kern w:val="0"/>
          <w:sz w:val="32"/>
          <w:szCs w:val="32"/>
          <w:u w:val="none"/>
          <w:lang w:val="en-US" w:eastAsia="zh-CN"/>
        </w:rPr>
        <w:t>办公费37.25万元、印刷费0.69万元、水费2.3万元、邮电费3.53万元、取暖费61.06万元、物业管理费151.74万元、差旅费6.71万元、维修（护）费3.87万元、租赁费267.92万元、会议费0.12万元、公务接待费29.78万元、劳务费0.04万元、工会经费5.85万元、福利费2.47万元、公务用车运行维护费12.58万元、其他交通费用11.88万元、其他商品和服务支出0.24万元、办公设备购置0.5万元。</w:t>
      </w:r>
    </w:p>
    <w:p>
      <w:pPr>
        <w:widowControl/>
        <w:spacing w:before="240" w:after="240"/>
        <w:jc w:val="left"/>
        <w:rPr>
          <w:rFonts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黑体" w:hAnsi="黑体" w:eastAsia="黑体" w:cs="黑体"/>
          <w:b w:val="0"/>
          <w:bCs w:val="0"/>
          <w:kern w:val="0"/>
          <w:sz w:val="32"/>
          <w:szCs w:val="32"/>
        </w:rPr>
        <w:t>七、一般公共预算财政拨款项目支出决算情况说明</w:t>
      </w:r>
    </w:p>
    <w:p>
      <w:pPr>
        <w:widowControl/>
        <w:spacing w:before="240" w:after="24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xml:space="preserve"> </w:t>
      </w:r>
      <w:r>
        <w:rPr>
          <w:rFonts w:hint="eastAsia" w:ascii="仿宋_GB2312" w:hAnsi="仿宋_GB2312" w:eastAsia="仿宋_GB2312" w:cs="仿宋_GB2312"/>
          <w:kern w:val="0"/>
          <w:sz w:val="32"/>
          <w:szCs w:val="32"/>
          <w:u w:val="none"/>
          <w:lang w:val="en-US" w:eastAsia="zh-CN"/>
        </w:rPr>
        <w:t xml:space="preserve">   </w:t>
      </w:r>
      <w:r>
        <w:rPr>
          <w:rFonts w:hint="eastAsia" w:ascii="仿宋_GB2312" w:hAnsi="仿宋_GB2312" w:eastAsia="仿宋_GB2312" w:cs="仿宋_GB2312"/>
          <w:kern w:val="0"/>
          <w:sz w:val="32"/>
          <w:szCs w:val="32"/>
          <w:u w:val="none"/>
        </w:rPr>
        <w:t>内蒙古自治区鄂尔多斯空港物流园区管理委员会 2024年度一般公共预算财政拨款项目支出决算 18440.28万元，其中：</w:t>
      </w:r>
    </w:p>
    <w:p>
      <w:pPr>
        <w:widowControl/>
        <w:spacing w:before="240" w:after="240"/>
        <w:rPr>
          <w:rFonts w:hint="eastAsia" w:ascii="仿宋_GB2312" w:hAnsi="仿宋_GB2312" w:eastAsia="仿宋_GB2312" w:cs="仿宋_GB2312"/>
          <w:kern w:val="0"/>
          <w:sz w:val="32"/>
          <w:szCs w:val="32"/>
          <w:u w:val="none"/>
        </w:rPr>
      </w:pPr>
      <w:r>
        <w:rPr>
          <w:rFonts w:ascii="fang_song_gb2312" w:hAnsi="fang_song_gb2312" w:eastAsia="fang_song_gb2312" w:cs="fang_song_gb2312"/>
          <w:b/>
          <w:bCs/>
          <w:kern w:val="0"/>
          <w:sz w:val="27"/>
          <w:szCs w:val="27"/>
          <w:u w:val="none"/>
        </w:rPr>
        <w:t xml:space="preserve">    </w:t>
      </w:r>
      <w:r>
        <w:rPr>
          <w:rFonts w:hint="eastAsia" w:ascii="楷体_GB2312" w:hAnsi="楷体_GB2312" w:eastAsia="楷体_GB2312" w:cs="楷体_GB2312"/>
          <w:b w:val="0"/>
          <w:bCs w:val="0"/>
          <w:kern w:val="0"/>
          <w:sz w:val="32"/>
          <w:szCs w:val="32"/>
          <w:u w:val="none"/>
        </w:rPr>
        <w:t>（一）工资福利支出</w:t>
      </w:r>
      <w:r>
        <w:rPr>
          <w:rFonts w:hint="eastAsia" w:ascii="楷体_GB2312" w:hAnsi="楷体_GB2312" w:eastAsia="楷体_GB2312" w:cs="楷体_GB2312"/>
          <w:b w:val="0"/>
          <w:bCs w:val="0"/>
          <w:kern w:val="0"/>
          <w:sz w:val="32"/>
          <w:szCs w:val="32"/>
          <w:u w:val="none"/>
          <w:lang w:val="en-US" w:eastAsia="zh-CN"/>
        </w:rPr>
        <w:t>2.5</w:t>
      </w:r>
      <w:r>
        <w:rPr>
          <w:rFonts w:hint="eastAsia" w:ascii="楷体_GB2312" w:hAnsi="楷体_GB2312" w:eastAsia="楷体_GB2312" w:cs="楷体_GB2312"/>
          <w:b w:val="0"/>
          <w:bCs w:val="0"/>
          <w:kern w:val="0"/>
          <w:sz w:val="32"/>
          <w:szCs w:val="32"/>
          <w:u w:val="none"/>
        </w:rPr>
        <w:t>万元。</w:t>
      </w:r>
      <w:r>
        <w:rPr>
          <w:rFonts w:hint="eastAsia" w:ascii="仿宋_GB2312" w:hAnsi="仿宋_GB2312" w:eastAsia="仿宋_GB2312" w:cs="仿宋_GB2312"/>
          <w:kern w:val="0"/>
          <w:sz w:val="32"/>
          <w:szCs w:val="32"/>
          <w:u w:val="none"/>
        </w:rPr>
        <w:t>主要包括：奖金</w:t>
      </w:r>
      <w:r>
        <w:rPr>
          <w:rFonts w:hint="eastAsia" w:ascii="仿宋_GB2312" w:hAnsi="仿宋_GB2312" w:eastAsia="仿宋_GB2312" w:cs="仿宋_GB2312"/>
          <w:kern w:val="0"/>
          <w:sz w:val="32"/>
          <w:szCs w:val="32"/>
          <w:u w:val="none"/>
          <w:lang w:val="en-US" w:eastAsia="zh-CN"/>
        </w:rPr>
        <w:t>2.5万元，主要为2024年度管委会先进工作者奖励</w:t>
      </w:r>
      <w:r>
        <w:rPr>
          <w:rFonts w:hint="eastAsia" w:ascii="仿宋_GB2312" w:hAnsi="仿宋_GB2312" w:eastAsia="仿宋_GB2312" w:cs="仿宋_GB2312"/>
          <w:kern w:val="0"/>
          <w:sz w:val="32"/>
          <w:szCs w:val="32"/>
          <w:u w:val="none"/>
        </w:rPr>
        <w:t>。</w:t>
      </w:r>
    </w:p>
    <w:p>
      <w:pPr>
        <w:widowControl/>
        <w:spacing w:before="240" w:after="240"/>
        <w:ind w:firstLine="482"/>
        <w:rPr>
          <w:rFonts w:hint="eastAsia" w:ascii="仿宋_GB2312" w:hAnsi="仿宋_GB2312" w:eastAsia="仿宋_GB2312" w:cs="仿宋_GB2312"/>
          <w:kern w:val="0"/>
          <w:sz w:val="32"/>
          <w:szCs w:val="32"/>
          <w:u w:val="none"/>
        </w:rPr>
      </w:pPr>
      <w:r>
        <w:rPr>
          <w:rFonts w:hint="eastAsia" w:ascii="楷体_GB2312" w:hAnsi="楷体_GB2312" w:eastAsia="楷体_GB2312" w:cs="楷体_GB2312"/>
          <w:b w:val="0"/>
          <w:bCs w:val="0"/>
          <w:kern w:val="0"/>
          <w:sz w:val="32"/>
          <w:szCs w:val="32"/>
          <w:u w:val="none"/>
        </w:rPr>
        <w:t>（二）商品和服务支出3898.66万元。</w:t>
      </w:r>
      <w:r>
        <w:rPr>
          <w:rFonts w:hint="eastAsia" w:ascii="仿宋_GB2312" w:hAnsi="仿宋_GB2312" w:eastAsia="仿宋_GB2312" w:cs="仿宋_GB2312"/>
          <w:kern w:val="0"/>
          <w:sz w:val="32"/>
          <w:szCs w:val="32"/>
          <w:u w:val="none"/>
        </w:rPr>
        <w:t>主要包括：办公费39.13</w:t>
      </w:r>
      <w:r>
        <w:rPr>
          <w:rFonts w:hint="eastAsia" w:ascii="仿宋_GB2312" w:hAnsi="仿宋_GB2312" w:eastAsia="仿宋_GB2312" w:cs="仿宋_GB2312"/>
          <w:kern w:val="0"/>
          <w:sz w:val="32"/>
          <w:szCs w:val="32"/>
          <w:u w:val="none"/>
          <w:lang w:val="en-US" w:eastAsia="zh-CN"/>
        </w:rPr>
        <w:t>万元</w:t>
      </w:r>
      <w:r>
        <w:rPr>
          <w:rFonts w:hint="eastAsia" w:ascii="仿宋_GB2312" w:hAnsi="仿宋_GB2312" w:eastAsia="仿宋_GB2312" w:cs="仿宋_GB2312"/>
          <w:kern w:val="0"/>
          <w:sz w:val="32"/>
          <w:szCs w:val="32"/>
          <w:u w:val="none"/>
        </w:rPr>
        <w:t>、印刷费</w:t>
      </w:r>
      <w:r>
        <w:rPr>
          <w:rFonts w:hint="eastAsia" w:ascii="仿宋_GB2312" w:hAnsi="仿宋_GB2312" w:eastAsia="仿宋_GB2312" w:cs="仿宋_GB2312"/>
          <w:kern w:val="0"/>
          <w:sz w:val="32"/>
          <w:szCs w:val="32"/>
          <w:u w:val="none"/>
          <w:lang w:val="en-US" w:eastAsia="zh-CN"/>
        </w:rPr>
        <w:t>15.14万元</w:t>
      </w:r>
      <w:r>
        <w:rPr>
          <w:rFonts w:hint="eastAsia" w:ascii="仿宋_GB2312" w:hAnsi="仿宋_GB2312" w:eastAsia="仿宋_GB2312" w:cs="仿宋_GB2312"/>
          <w:kern w:val="0"/>
          <w:sz w:val="32"/>
          <w:szCs w:val="32"/>
          <w:u w:val="none"/>
        </w:rPr>
        <w:t>、水费</w:t>
      </w:r>
      <w:r>
        <w:rPr>
          <w:rFonts w:hint="eastAsia" w:ascii="仿宋_GB2312" w:hAnsi="仿宋_GB2312" w:eastAsia="仿宋_GB2312" w:cs="仿宋_GB2312"/>
          <w:kern w:val="0"/>
          <w:sz w:val="32"/>
          <w:szCs w:val="32"/>
          <w:u w:val="none"/>
          <w:lang w:val="en-US" w:eastAsia="zh-CN"/>
        </w:rPr>
        <w:t>50万元</w:t>
      </w:r>
      <w:r>
        <w:rPr>
          <w:rFonts w:hint="eastAsia" w:ascii="仿宋_GB2312" w:hAnsi="仿宋_GB2312" w:eastAsia="仿宋_GB2312" w:cs="仿宋_GB2312"/>
          <w:kern w:val="0"/>
          <w:sz w:val="32"/>
          <w:szCs w:val="32"/>
          <w:u w:val="none"/>
        </w:rPr>
        <w:t>、电费</w:t>
      </w:r>
      <w:r>
        <w:rPr>
          <w:rFonts w:hint="eastAsia" w:ascii="仿宋_GB2312" w:hAnsi="仿宋_GB2312" w:eastAsia="仿宋_GB2312" w:cs="仿宋_GB2312"/>
          <w:kern w:val="0"/>
          <w:sz w:val="32"/>
          <w:szCs w:val="32"/>
          <w:u w:val="none"/>
          <w:lang w:val="en-US" w:eastAsia="zh-CN"/>
        </w:rPr>
        <w:t>121.8万元</w:t>
      </w:r>
      <w:r>
        <w:rPr>
          <w:rFonts w:hint="eastAsia" w:ascii="仿宋_GB2312" w:hAnsi="仿宋_GB2312" w:eastAsia="仿宋_GB2312" w:cs="仿宋_GB2312"/>
          <w:kern w:val="0"/>
          <w:sz w:val="32"/>
          <w:szCs w:val="32"/>
          <w:u w:val="none"/>
        </w:rPr>
        <w:t>、邮电费</w:t>
      </w:r>
      <w:r>
        <w:rPr>
          <w:rFonts w:hint="eastAsia" w:ascii="仿宋_GB2312" w:hAnsi="仿宋_GB2312" w:eastAsia="仿宋_GB2312" w:cs="仿宋_GB2312"/>
          <w:kern w:val="0"/>
          <w:sz w:val="32"/>
          <w:szCs w:val="32"/>
          <w:u w:val="none"/>
          <w:lang w:val="en-US" w:eastAsia="zh-CN"/>
        </w:rPr>
        <w:t>10.65万元</w:t>
      </w:r>
      <w:r>
        <w:rPr>
          <w:rFonts w:hint="eastAsia" w:ascii="仿宋_GB2312" w:hAnsi="仿宋_GB2312" w:eastAsia="仿宋_GB2312" w:cs="仿宋_GB2312"/>
          <w:kern w:val="0"/>
          <w:sz w:val="32"/>
          <w:szCs w:val="32"/>
          <w:u w:val="none"/>
        </w:rPr>
        <w:t>、</w:t>
      </w:r>
      <w:r>
        <w:rPr>
          <w:rFonts w:hint="eastAsia" w:ascii="仿宋_GB2312" w:hAnsi="仿宋_GB2312" w:eastAsia="仿宋_GB2312" w:cs="仿宋_GB2312"/>
          <w:kern w:val="0"/>
          <w:sz w:val="32"/>
          <w:szCs w:val="32"/>
          <w:u w:val="none"/>
          <w:lang w:val="en-US" w:eastAsia="zh-CN"/>
        </w:rPr>
        <w:t>取暖费30.92万元、物业管理费164.94万元、</w:t>
      </w:r>
      <w:r>
        <w:rPr>
          <w:rFonts w:hint="eastAsia" w:ascii="仿宋_GB2312" w:hAnsi="仿宋_GB2312" w:eastAsia="仿宋_GB2312" w:cs="仿宋_GB2312"/>
          <w:kern w:val="0"/>
          <w:sz w:val="32"/>
          <w:szCs w:val="32"/>
          <w:u w:val="none"/>
        </w:rPr>
        <w:t>差旅费</w:t>
      </w:r>
      <w:r>
        <w:rPr>
          <w:rFonts w:hint="eastAsia" w:ascii="仿宋_GB2312" w:hAnsi="仿宋_GB2312" w:eastAsia="仿宋_GB2312" w:cs="仿宋_GB2312"/>
          <w:kern w:val="0"/>
          <w:sz w:val="32"/>
          <w:szCs w:val="32"/>
          <w:u w:val="none"/>
          <w:lang w:val="en-US" w:eastAsia="zh-CN"/>
        </w:rPr>
        <w:t>77.08万元</w:t>
      </w:r>
      <w:r>
        <w:rPr>
          <w:rFonts w:hint="eastAsia" w:ascii="仿宋_GB2312" w:hAnsi="仿宋_GB2312" w:eastAsia="仿宋_GB2312" w:cs="仿宋_GB2312"/>
          <w:kern w:val="0"/>
          <w:sz w:val="32"/>
          <w:szCs w:val="32"/>
          <w:u w:val="none"/>
        </w:rPr>
        <w:t>、维修（护）费</w:t>
      </w:r>
      <w:r>
        <w:rPr>
          <w:rFonts w:hint="eastAsia" w:ascii="仿宋_GB2312" w:hAnsi="仿宋_GB2312" w:eastAsia="仿宋_GB2312" w:cs="仿宋_GB2312"/>
          <w:kern w:val="0"/>
          <w:sz w:val="32"/>
          <w:szCs w:val="32"/>
          <w:u w:val="none"/>
          <w:lang w:val="en-US" w:eastAsia="zh-CN"/>
        </w:rPr>
        <w:t>1777.52万元</w:t>
      </w:r>
      <w:r>
        <w:rPr>
          <w:rFonts w:hint="eastAsia" w:ascii="仿宋_GB2312" w:hAnsi="仿宋_GB2312" w:eastAsia="仿宋_GB2312" w:cs="仿宋_GB2312"/>
          <w:kern w:val="0"/>
          <w:sz w:val="32"/>
          <w:szCs w:val="32"/>
          <w:u w:val="none"/>
        </w:rPr>
        <w:t>、租赁费</w:t>
      </w:r>
      <w:r>
        <w:rPr>
          <w:rFonts w:hint="eastAsia" w:ascii="仿宋_GB2312" w:hAnsi="仿宋_GB2312" w:eastAsia="仿宋_GB2312" w:cs="仿宋_GB2312"/>
          <w:kern w:val="0"/>
          <w:sz w:val="32"/>
          <w:szCs w:val="32"/>
          <w:u w:val="none"/>
          <w:lang w:val="en-US" w:eastAsia="zh-CN"/>
        </w:rPr>
        <w:t>591.32万元</w:t>
      </w:r>
      <w:r>
        <w:rPr>
          <w:rFonts w:hint="eastAsia" w:ascii="仿宋_GB2312" w:hAnsi="仿宋_GB2312" w:eastAsia="仿宋_GB2312" w:cs="仿宋_GB2312"/>
          <w:kern w:val="0"/>
          <w:sz w:val="32"/>
          <w:szCs w:val="32"/>
          <w:u w:val="none"/>
        </w:rPr>
        <w:t>、会议费</w:t>
      </w:r>
      <w:r>
        <w:rPr>
          <w:rFonts w:hint="eastAsia" w:ascii="仿宋_GB2312" w:hAnsi="仿宋_GB2312" w:eastAsia="仿宋_GB2312" w:cs="仿宋_GB2312"/>
          <w:kern w:val="0"/>
          <w:sz w:val="32"/>
          <w:szCs w:val="32"/>
          <w:u w:val="none"/>
          <w:lang w:val="en-US" w:eastAsia="zh-CN"/>
        </w:rPr>
        <w:t>0.42万元</w:t>
      </w:r>
      <w:r>
        <w:rPr>
          <w:rFonts w:hint="eastAsia" w:ascii="仿宋_GB2312" w:hAnsi="仿宋_GB2312" w:eastAsia="仿宋_GB2312" w:cs="仿宋_GB2312"/>
          <w:kern w:val="0"/>
          <w:sz w:val="32"/>
          <w:szCs w:val="32"/>
          <w:u w:val="none"/>
        </w:rPr>
        <w:t>、培训费</w:t>
      </w:r>
      <w:r>
        <w:rPr>
          <w:rFonts w:hint="eastAsia" w:ascii="仿宋_GB2312" w:hAnsi="仿宋_GB2312" w:eastAsia="仿宋_GB2312" w:cs="仿宋_GB2312"/>
          <w:kern w:val="0"/>
          <w:sz w:val="32"/>
          <w:szCs w:val="32"/>
          <w:u w:val="none"/>
          <w:lang w:val="en-US" w:eastAsia="zh-CN"/>
        </w:rPr>
        <w:t>29.9万元</w:t>
      </w:r>
      <w:r>
        <w:rPr>
          <w:rFonts w:hint="eastAsia" w:ascii="仿宋_GB2312" w:hAnsi="仿宋_GB2312" w:eastAsia="仿宋_GB2312" w:cs="仿宋_GB2312"/>
          <w:kern w:val="0"/>
          <w:sz w:val="32"/>
          <w:szCs w:val="32"/>
          <w:u w:val="none"/>
        </w:rPr>
        <w:t>、劳务费</w:t>
      </w:r>
      <w:r>
        <w:rPr>
          <w:rFonts w:hint="eastAsia" w:ascii="仿宋_GB2312" w:hAnsi="仿宋_GB2312" w:eastAsia="仿宋_GB2312" w:cs="仿宋_GB2312"/>
          <w:kern w:val="0"/>
          <w:sz w:val="32"/>
          <w:szCs w:val="32"/>
          <w:u w:val="none"/>
          <w:lang w:val="en-US" w:eastAsia="zh-CN"/>
        </w:rPr>
        <w:t>117.46万元</w:t>
      </w:r>
      <w:r>
        <w:rPr>
          <w:rFonts w:hint="eastAsia" w:ascii="仿宋_GB2312" w:hAnsi="仿宋_GB2312" w:eastAsia="仿宋_GB2312" w:cs="仿宋_GB2312"/>
          <w:kern w:val="0"/>
          <w:sz w:val="32"/>
          <w:szCs w:val="32"/>
          <w:u w:val="none"/>
        </w:rPr>
        <w:t>、委托业务费</w:t>
      </w:r>
      <w:r>
        <w:rPr>
          <w:rFonts w:hint="eastAsia" w:ascii="仿宋_GB2312" w:hAnsi="仿宋_GB2312" w:eastAsia="仿宋_GB2312" w:cs="仿宋_GB2312"/>
          <w:kern w:val="0"/>
          <w:sz w:val="32"/>
          <w:szCs w:val="32"/>
          <w:u w:val="none"/>
          <w:lang w:val="en-US" w:eastAsia="zh-CN"/>
        </w:rPr>
        <w:t>559.35万元、</w:t>
      </w:r>
      <w:r>
        <w:rPr>
          <w:rFonts w:hint="eastAsia" w:ascii="仿宋_GB2312" w:hAnsi="仿宋_GB2312" w:eastAsia="仿宋_GB2312" w:cs="仿宋_GB2312"/>
          <w:kern w:val="0"/>
          <w:sz w:val="32"/>
          <w:szCs w:val="32"/>
          <w:u w:val="none"/>
        </w:rPr>
        <w:t>其他交通费用</w:t>
      </w:r>
      <w:r>
        <w:rPr>
          <w:rFonts w:hint="eastAsia" w:ascii="仿宋_GB2312" w:hAnsi="仿宋_GB2312" w:eastAsia="仿宋_GB2312" w:cs="仿宋_GB2312"/>
          <w:kern w:val="0"/>
          <w:sz w:val="32"/>
          <w:szCs w:val="32"/>
          <w:u w:val="none"/>
          <w:lang w:val="en-US" w:eastAsia="zh-CN"/>
        </w:rPr>
        <w:t>5.9万元</w:t>
      </w:r>
      <w:r>
        <w:rPr>
          <w:rFonts w:hint="eastAsia" w:ascii="仿宋_GB2312" w:hAnsi="仿宋_GB2312" w:eastAsia="仿宋_GB2312" w:cs="仿宋_GB2312"/>
          <w:kern w:val="0"/>
          <w:sz w:val="32"/>
          <w:szCs w:val="32"/>
          <w:u w:val="none"/>
        </w:rPr>
        <w:t>、其他商品和服务支出</w:t>
      </w:r>
      <w:r>
        <w:rPr>
          <w:rFonts w:hint="eastAsia" w:ascii="仿宋_GB2312" w:hAnsi="仿宋_GB2312" w:eastAsia="仿宋_GB2312" w:cs="仿宋_GB2312"/>
          <w:kern w:val="0"/>
          <w:sz w:val="32"/>
          <w:szCs w:val="32"/>
          <w:u w:val="none"/>
          <w:lang w:val="en-US" w:eastAsia="zh-CN"/>
        </w:rPr>
        <w:t>307.13万元</w:t>
      </w:r>
      <w:r>
        <w:rPr>
          <w:rFonts w:hint="eastAsia" w:ascii="仿宋_GB2312" w:hAnsi="仿宋_GB2312" w:eastAsia="仿宋_GB2312" w:cs="仿宋_GB2312"/>
          <w:kern w:val="0"/>
          <w:sz w:val="32"/>
          <w:szCs w:val="32"/>
          <w:u w:val="none"/>
        </w:rPr>
        <w:t>。</w:t>
      </w:r>
    </w:p>
    <w:p>
      <w:pPr>
        <w:widowControl/>
        <w:spacing w:before="240" w:after="240"/>
        <w:ind w:firstLine="482"/>
        <w:rPr>
          <w:rFonts w:hint="eastAsia" w:ascii="仿宋_GB2312" w:hAnsi="仿宋_GB2312" w:eastAsia="仿宋_GB2312" w:cs="仿宋_GB2312"/>
          <w:kern w:val="0"/>
          <w:sz w:val="32"/>
          <w:szCs w:val="32"/>
          <w:u w:val="none"/>
        </w:rPr>
      </w:pPr>
      <w:r>
        <w:rPr>
          <w:rFonts w:hint="eastAsia" w:ascii="楷体_GB2312" w:hAnsi="楷体_GB2312" w:eastAsia="楷体_GB2312" w:cs="楷体_GB2312"/>
          <w:b w:val="0"/>
          <w:bCs w:val="0"/>
          <w:kern w:val="0"/>
          <w:sz w:val="32"/>
          <w:szCs w:val="32"/>
          <w:u w:val="none"/>
          <w:lang w:eastAsia="zh-CN"/>
        </w:rPr>
        <w:t>（</w:t>
      </w:r>
      <w:r>
        <w:rPr>
          <w:rFonts w:hint="eastAsia" w:ascii="楷体_GB2312" w:hAnsi="楷体_GB2312" w:eastAsia="楷体_GB2312" w:cs="楷体_GB2312"/>
          <w:b w:val="0"/>
          <w:bCs w:val="0"/>
          <w:kern w:val="0"/>
          <w:sz w:val="32"/>
          <w:szCs w:val="32"/>
          <w:u w:val="none"/>
          <w:lang w:val="en-US" w:eastAsia="zh-CN"/>
        </w:rPr>
        <w:t>三</w:t>
      </w:r>
      <w:r>
        <w:rPr>
          <w:rFonts w:hint="eastAsia" w:ascii="楷体_GB2312" w:hAnsi="楷体_GB2312" w:eastAsia="楷体_GB2312" w:cs="楷体_GB2312"/>
          <w:b w:val="0"/>
          <w:bCs w:val="0"/>
          <w:kern w:val="0"/>
          <w:sz w:val="32"/>
          <w:szCs w:val="32"/>
          <w:u w:val="none"/>
        </w:rPr>
        <w:t>）对个人和家庭的补助</w:t>
      </w:r>
      <w:r>
        <w:rPr>
          <w:rFonts w:hint="eastAsia" w:ascii="楷体_GB2312" w:hAnsi="楷体_GB2312" w:eastAsia="楷体_GB2312" w:cs="楷体_GB2312"/>
          <w:b w:val="0"/>
          <w:bCs w:val="0"/>
          <w:kern w:val="0"/>
          <w:sz w:val="32"/>
          <w:szCs w:val="32"/>
          <w:u w:val="none"/>
          <w:lang w:val="en-US" w:eastAsia="zh-CN"/>
        </w:rPr>
        <w:t>37.94</w:t>
      </w:r>
      <w:r>
        <w:rPr>
          <w:rFonts w:hint="eastAsia" w:ascii="楷体_GB2312" w:hAnsi="楷体_GB2312" w:eastAsia="楷体_GB2312" w:cs="楷体_GB2312"/>
          <w:b w:val="0"/>
          <w:bCs w:val="0"/>
          <w:kern w:val="0"/>
          <w:sz w:val="32"/>
          <w:szCs w:val="32"/>
          <w:u w:val="none"/>
        </w:rPr>
        <w:t>万元。</w:t>
      </w:r>
      <w:r>
        <w:rPr>
          <w:rFonts w:hint="eastAsia" w:ascii="仿宋_GB2312" w:hAnsi="仿宋_GB2312" w:eastAsia="仿宋_GB2312" w:cs="仿宋_GB2312"/>
          <w:kern w:val="0"/>
          <w:sz w:val="32"/>
          <w:szCs w:val="32"/>
          <w:u w:val="none"/>
        </w:rPr>
        <w:t>主要包括：</w:t>
      </w:r>
      <w:r>
        <w:rPr>
          <w:rFonts w:hint="eastAsia" w:ascii="仿宋_GB2312" w:hAnsi="仿宋_GB2312" w:eastAsia="仿宋_GB2312" w:cs="仿宋_GB2312"/>
          <w:kern w:val="0"/>
          <w:sz w:val="32"/>
          <w:szCs w:val="32"/>
          <w:u w:val="none"/>
          <w:lang w:val="en-US" w:eastAsia="zh-CN"/>
        </w:rPr>
        <w:t>生活</w:t>
      </w:r>
      <w:r>
        <w:rPr>
          <w:rFonts w:hint="eastAsia" w:ascii="仿宋_GB2312" w:hAnsi="仿宋_GB2312" w:eastAsia="仿宋_GB2312" w:cs="仿宋_GB2312"/>
          <w:kern w:val="0"/>
          <w:sz w:val="32"/>
          <w:szCs w:val="32"/>
          <w:u w:val="none"/>
        </w:rPr>
        <w:t>补助</w:t>
      </w:r>
      <w:r>
        <w:rPr>
          <w:rFonts w:hint="eastAsia" w:ascii="仿宋_GB2312" w:hAnsi="仿宋_GB2312" w:eastAsia="仿宋_GB2312" w:cs="仿宋_GB2312"/>
          <w:kern w:val="0"/>
          <w:sz w:val="32"/>
          <w:szCs w:val="32"/>
          <w:u w:val="none"/>
          <w:lang w:val="en-US" w:eastAsia="zh-CN"/>
        </w:rPr>
        <w:t>3.89万元、其他对个人和家庭的补助34.05万元</w:t>
      </w:r>
      <w:r>
        <w:rPr>
          <w:rFonts w:hint="eastAsia" w:ascii="仿宋_GB2312" w:hAnsi="仿宋_GB2312" w:eastAsia="仿宋_GB2312" w:cs="仿宋_GB2312"/>
          <w:kern w:val="0"/>
          <w:sz w:val="32"/>
          <w:szCs w:val="32"/>
          <w:u w:val="none"/>
        </w:rPr>
        <w:t>。</w:t>
      </w:r>
    </w:p>
    <w:p>
      <w:pPr>
        <w:widowControl/>
        <w:spacing w:before="240" w:after="240"/>
        <w:ind w:firstLine="482"/>
        <w:rPr>
          <w:rFonts w:hint="eastAsia" w:ascii="仿宋_GB2312" w:hAnsi="仿宋_GB2312" w:eastAsia="仿宋_GB2312" w:cs="仿宋_GB2312"/>
          <w:kern w:val="0"/>
          <w:sz w:val="32"/>
          <w:szCs w:val="32"/>
          <w:u w:val="none"/>
        </w:rPr>
      </w:pPr>
      <w:r>
        <w:rPr>
          <w:rFonts w:hint="eastAsia" w:ascii="楷体_GB2312" w:hAnsi="楷体_GB2312" w:eastAsia="楷体_GB2312" w:cs="楷体_GB2312"/>
          <w:b w:val="0"/>
          <w:bCs w:val="0"/>
          <w:kern w:val="0"/>
          <w:sz w:val="32"/>
          <w:szCs w:val="32"/>
          <w:u w:val="none"/>
          <w:lang w:eastAsia="zh-CN"/>
        </w:rPr>
        <w:t>（</w:t>
      </w:r>
      <w:r>
        <w:rPr>
          <w:rFonts w:hint="eastAsia" w:ascii="楷体_GB2312" w:hAnsi="楷体_GB2312" w:eastAsia="楷体_GB2312" w:cs="楷体_GB2312"/>
          <w:b w:val="0"/>
          <w:bCs w:val="0"/>
          <w:kern w:val="0"/>
          <w:sz w:val="32"/>
          <w:szCs w:val="32"/>
          <w:u w:val="none"/>
          <w:lang w:val="en-US" w:eastAsia="zh-CN"/>
        </w:rPr>
        <w:t>四</w:t>
      </w:r>
      <w:r>
        <w:rPr>
          <w:rFonts w:hint="eastAsia" w:ascii="楷体_GB2312" w:hAnsi="楷体_GB2312" w:eastAsia="楷体_GB2312" w:cs="楷体_GB2312"/>
          <w:b w:val="0"/>
          <w:bCs w:val="0"/>
          <w:kern w:val="0"/>
          <w:sz w:val="32"/>
          <w:szCs w:val="32"/>
          <w:u w:val="none"/>
        </w:rPr>
        <w:t>）资本性支出 715.29万元。</w:t>
      </w:r>
      <w:r>
        <w:rPr>
          <w:rFonts w:hint="eastAsia" w:ascii="仿宋_GB2312" w:hAnsi="仿宋_GB2312" w:eastAsia="仿宋_GB2312" w:cs="仿宋_GB2312"/>
          <w:kern w:val="0"/>
          <w:sz w:val="32"/>
          <w:szCs w:val="32"/>
          <w:u w:val="none"/>
        </w:rPr>
        <w:t>主要包括：办公设备购置</w:t>
      </w:r>
      <w:r>
        <w:rPr>
          <w:rFonts w:hint="eastAsia" w:ascii="仿宋_GB2312" w:hAnsi="仿宋_GB2312" w:eastAsia="仿宋_GB2312" w:cs="仿宋_GB2312"/>
          <w:kern w:val="0"/>
          <w:sz w:val="32"/>
          <w:szCs w:val="32"/>
          <w:u w:val="none"/>
          <w:lang w:val="en-US" w:eastAsia="zh-CN"/>
        </w:rPr>
        <w:t>52.58万元、基础设施建设201.35万元、 大型修缮43.24万元、信息网络及软件购置更新42.5万元、其他交通工具购置375.61万元</w:t>
      </w:r>
      <w:r>
        <w:rPr>
          <w:rFonts w:hint="eastAsia" w:ascii="仿宋_GB2312" w:hAnsi="仿宋_GB2312" w:eastAsia="仿宋_GB2312" w:cs="仿宋_GB2312"/>
          <w:kern w:val="0"/>
          <w:sz w:val="32"/>
          <w:szCs w:val="32"/>
          <w:u w:val="none"/>
        </w:rPr>
        <w:t>。</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楷体_GB2312" w:hAnsi="楷体_GB2312" w:eastAsia="楷体_GB2312" w:cs="楷体_GB2312"/>
          <w:b w:val="0"/>
          <w:bCs w:val="0"/>
          <w:kern w:val="0"/>
          <w:sz w:val="32"/>
          <w:szCs w:val="32"/>
          <w:u w:val="none"/>
          <w:lang w:eastAsia="zh-CN"/>
        </w:rPr>
        <w:t>（</w:t>
      </w:r>
      <w:r>
        <w:rPr>
          <w:rFonts w:hint="eastAsia" w:ascii="楷体_GB2312" w:hAnsi="楷体_GB2312" w:eastAsia="楷体_GB2312" w:cs="楷体_GB2312"/>
          <w:b w:val="0"/>
          <w:bCs w:val="0"/>
          <w:kern w:val="0"/>
          <w:sz w:val="32"/>
          <w:szCs w:val="32"/>
          <w:u w:val="none"/>
          <w:lang w:val="en-US" w:eastAsia="zh-CN"/>
        </w:rPr>
        <w:t>五</w:t>
      </w:r>
      <w:r>
        <w:rPr>
          <w:rFonts w:hint="eastAsia" w:ascii="楷体_GB2312" w:hAnsi="楷体_GB2312" w:eastAsia="楷体_GB2312" w:cs="楷体_GB2312"/>
          <w:b w:val="0"/>
          <w:bCs w:val="0"/>
          <w:kern w:val="0"/>
          <w:sz w:val="32"/>
          <w:szCs w:val="32"/>
          <w:u w:val="none"/>
          <w:lang w:eastAsia="zh-CN"/>
        </w:rPr>
        <w:t>）对企业补助</w:t>
      </w:r>
      <w:r>
        <w:rPr>
          <w:rFonts w:hint="eastAsia" w:ascii="楷体_GB2312" w:hAnsi="楷体_GB2312" w:eastAsia="楷体_GB2312" w:cs="楷体_GB2312"/>
          <w:b w:val="0"/>
          <w:bCs w:val="0"/>
          <w:kern w:val="0"/>
          <w:sz w:val="32"/>
          <w:szCs w:val="32"/>
          <w:u w:val="none"/>
          <w:lang w:val="en-US" w:eastAsia="zh-CN"/>
        </w:rPr>
        <w:t>13785.89</w:t>
      </w:r>
      <w:r>
        <w:rPr>
          <w:rFonts w:hint="eastAsia" w:ascii="楷体_GB2312" w:hAnsi="楷体_GB2312" w:eastAsia="楷体_GB2312" w:cs="楷体_GB2312"/>
          <w:b w:val="0"/>
          <w:bCs w:val="0"/>
          <w:kern w:val="0"/>
          <w:sz w:val="32"/>
          <w:szCs w:val="32"/>
          <w:u w:val="none"/>
          <w:lang w:eastAsia="zh-CN"/>
        </w:rPr>
        <w:t>万元。</w:t>
      </w:r>
      <w:r>
        <w:rPr>
          <w:rFonts w:hint="eastAsia" w:ascii="仿宋_GB2312" w:hAnsi="仿宋_GB2312" w:eastAsia="仿宋_GB2312" w:cs="仿宋_GB2312"/>
          <w:kern w:val="0"/>
          <w:sz w:val="32"/>
          <w:szCs w:val="32"/>
          <w:u w:val="none"/>
        </w:rPr>
        <w:t>主要包括：费用补贴</w:t>
      </w:r>
      <w:r>
        <w:rPr>
          <w:rFonts w:hint="eastAsia" w:ascii="仿宋_GB2312" w:hAnsi="仿宋_GB2312" w:eastAsia="仿宋_GB2312" w:cs="仿宋_GB2312"/>
          <w:kern w:val="0"/>
          <w:sz w:val="32"/>
          <w:szCs w:val="32"/>
          <w:u w:val="none"/>
          <w:lang w:val="en-US" w:eastAsia="zh-CN"/>
        </w:rPr>
        <w:t>13785.89</w:t>
      </w:r>
      <w:r>
        <w:rPr>
          <w:rFonts w:hint="eastAsia" w:ascii="仿宋_GB2312" w:hAnsi="仿宋_GB2312" w:eastAsia="仿宋_GB2312" w:cs="仿宋_GB2312"/>
          <w:kern w:val="0"/>
          <w:sz w:val="32"/>
          <w:szCs w:val="32"/>
          <w:u w:val="none"/>
        </w:rPr>
        <w:t>万元。</w:t>
      </w:r>
    </w:p>
    <w:p>
      <w:pPr>
        <w:widowControl/>
        <w:spacing w:before="240" w:after="240"/>
        <w:jc w:val="left"/>
        <w:rPr>
          <w:rFonts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val="0"/>
          <w:bCs w:val="0"/>
          <w:kern w:val="0"/>
          <w:sz w:val="32"/>
          <w:szCs w:val="32"/>
        </w:rPr>
        <w:t xml:space="preserve"> 八、财政拨款“三公”经费支出决算情况说明</w:t>
      </w:r>
    </w:p>
    <w:p>
      <w:pPr>
        <w:widowControl/>
        <w:spacing w:before="240" w:after="240"/>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rPr>
        <w:t>（一）财政拨款“三公”经费支出总体情况说明。</w:t>
      </w:r>
    </w:p>
    <w:p>
      <w:pPr>
        <w:widowControl/>
        <w:spacing w:before="240" w:after="240"/>
        <w:rPr>
          <w:rFonts w:hint="eastAsia" w:ascii="仿宋_GB2312" w:hAnsi="仿宋_GB2312" w:eastAsia="仿宋_GB2312" w:cs="仿宋_GB2312"/>
          <w:kern w:val="0"/>
          <w:sz w:val="32"/>
          <w:szCs w:val="32"/>
          <w:u w:val="none"/>
          <w:lang w:eastAsia="zh-CN"/>
        </w:rPr>
      </w:pPr>
      <w:r>
        <w:rPr>
          <w:rFonts w:ascii="fang_song_gb2312" w:hAnsi="fang_song_gb2312" w:eastAsia="fang_song_gb2312" w:cs="fang_song_gb2312"/>
          <w:kern w:val="0"/>
          <w:sz w:val="27"/>
          <w:szCs w:val="27"/>
        </w:rPr>
        <w:t xml:space="preserve">    </w:t>
      </w:r>
      <w:r>
        <w:rPr>
          <w:rFonts w:hint="eastAsia" w:ascii="fang_song_gb2312" w:hAnsi="fang_song_gb2312" w:eastAsia="宋体" w:cs="fang_song_gb2312"/>
          <w:kern w:val="0"/>
          <w:sz w:val="27"/>
          <w:szCs w:val="27"/>
          <w:lang w:val="en-US" w:eastAsia="zh-CN"/>
        </w:rPr>
        <w:t xml:space="preserve"> </w:t>
      </w:r>
      <w:r>
        <w:rPr>
          <w:rFonts w:hint="eastAsia" w:ascii="仿宋_GB2312" w:hAnsi="仿宋_GB2312" w:eastAsia="仿宋_GB2312" w:cs="仿宋_GB2312"/>
          <w:kern w:val="0"/>
          <w:sz w:val="32"/>
          <w:szCs w:val="32"/>
          <w:u w:val="none"/>
        </w:rPr>
        <w:t>内蒙古自治区鄂尔多斯空港物流园区管理委员会 2024年度财政拨款“三公”经费全年预算 42.36万元，支出决算 42.36万元，完成预算的 100.00%。其中：因公出国（境）费全年预算 0万元，支出决算 0万元，完成预算的 0%；公务用车购置及运行维护费全年预算 12.58万元，支出决算 12.58万元，完成预算的 100.00%；公务接待费全年预算 29.78万元，支出决算 29.78万元，完成预算的 100.00%。2024年度一般公共预算财政拨款“三公”经费全年预算 42.36万元，支出决算 42.36万元，与预算</w:t>
      </w:r>
      <w:r>
        <w:rPr>
          <w:rFonts w:hint="eastAsia" w:ascii="仿宋_GB2312" w:hAnsi="仿宋_GB2312" w:eastAsia="仿宋_GB2312" w:cs="仿宋_GB2312"/>
          <w:kern w:val="0"/>
          <w:sz w:val="32"/>
          <w:szCs w:val="32"/>
          <w:u w:val="none"/>
          <w:lang w:val="en-US" w:eastAsia="zh-CN"/>
        </w:rPr>
        <w:t>无</w:t>
      </w:r>
      <w:r>
        <w:rPr>
          <w:rFonts w:hint="eastAsia" w:ascii="仿宋_GB2312" w:hAnsi="仿宋_GB2312" w:eastAsia="仿宋_GB2312" w:cs="仿宋_GB2312"/>
          <w:kern w:val="0"/>
          <w:sz w:val="32"/>
          <w:szCs w:val="32"/>
          <w:u w:val="none"/>
        </w:rPr>
        <w:t>差异</w:t>
      </w:r>
      <w:r>
        <w:rPr>
          <w:rFonts w:hint="eastAsia" w:ascii="仿宋_GB2312" w:hAnsi="仿宋_GB2312" w:eastAsia="仿宋_GB2312" w:cs="仿宋_GB2312"/>
          <w:kern w:val="0"/>
          <w:sz w:val="32"/>
          <w:szCs w:val="32"/>
          <w:u w:val="none"/>
          <w:lang w:eastAsia="zh-CN"/>
        </w:rPr>
        <w:t>。</w:t>
      </w:r>
    </w:p>
    <w:p>
      <w:pPr>
        <w:widowControl/>
        <w:spacing w:before="240" w:after="240"/>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w:t>
      </w:r>
      <w:r>
        <w:rPr>
          <w:rFonts w:hint="eastAsia" w:ascii="楷体_GB2312" w:hAnsi="楷体_GB2312" w:eastAsia="楷体_GB2312" w:cs="楷体_GB2312"/>
          <w:b w:val="0"/>
          <w:bCs w:val="0"/>
          <w:kern w:val="0"/>
          <w:sz w:val="32"/>
          <w:szCs w:val="32"/>
        </w:rPr>
        <w:t xml:space="preserve"> （二）财政拨款“三公”经费支出具体情况说明。</w:t>
      </w:r>
    </w:p>
    <w:p>
      <w:pPr>
        <w:widowControl/>
        <w:spacing w:before="240" w:after="240"/>
        <w:ind w:firstLine="640" w:firstLineChars="200"/>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内蒙古自治区鄂尔多斯空港物流园区管理委员会 2024年度财政拨款“三公”经费支出 42.36万元。因公出国（境）费支出 0万元，占 0%；公务用车购置及运行维护费支出 12.58万元，占 29.70%；公务接待费支出 29.78万元，占 70.30%。其中：</w:t>
      </w:r>
    </w:p>
    <w:p>
      <w:pPr>
        <w:widowControl/>
        <w:spacing w:before="240" w:after="240"/>
        <w:ind w:firstLine="640" w:firstLineChars="200"/>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1.因公出国（境）费支出 0.00万元，全年出国（境）团组0 个，累计0 人次。与上年决算相比，增加 0.00万元，变动原因：未发生因公出国（境）费。</w:t>
      </w:r>
    </w:p>
    <w:p>
      <w:pPr>
        <w:widowControl/>
        <w:spacing w:before="240" w:after="240"/>
        <w:ind w:firstLine="640" w:firstLineChars="200"/>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2.公务用车购置及运行维护费支出 12.</w:t>
      </w:r>
      <w:r>
        <w:rPr>
          <w:rFonts w:hint="eastAsia" w:ascii="仿宋_GB2312" w:hAnsi="仿宋_GB2312" w:eastAsia="仿宋_GB2312" w:cs="仿宋_GB2312"/>
          <w:kern w:val="0"/>
          <w:sz w:val="32"/>
          <w:szCs w:val="32"/>
          <w:u w:val="none"/>
          <w:lang w:val="en-US" w:eastAsia="zh-CN"/>
        </w:rPr>
        <w:t>58</w:t>
      </w:r>
      <w:r>
        <w:rPr>
          <w:rFonts w:hint="eastAsia" w:ascii="仿宋_GB2312" w:hAnsi="仿宋_GB2312" w:eastAsia="仿宋_GB2312" w:cs="仿宋_GB2312"/>
          <w:kern w:val="0"/>
          <w:sz w:val="32"/>
          <w:szCs w:val="32"/>
          <w:u w:val="none"/>
        </w:rPr>
        <w:t>万元。其中：</w:t>
      </w:r>
    </w:p>
    <w:p>
      <w:pPr>
        <w:widowControl/>
        <w:spacing w:before="240" w:after="240"/>
        <w:ind w:firstLine="640" w:firstLineChars="200"/>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（1）公务用车购置支出 0.00万元。本年度使用财政拨款购置公务用车0 辆，开支内容：</w:t>
      </w:r>
      <w:r>
        <w:rPr>
          <w:rFonts w:hint="eastAsia" w:ascii="仿宋_GB2312" w:hAnsi="仿宋_GB2312" w:eastAsia="仿宋_GB2312" w:cs="仿宋_GB2312"/>
          <w:kern w:val="0"/>
          <w:sz w:val="32"/>
          <w:szCs w:val="32"/>
          <w:u w:val="none"/>
          <w:lang w:val="en-US" w:eastAsia="zh-CN"/>
        </w:rPr>
        <w:t>无</w:t>
      </w:r>
      <w:r>
        <w:rPr>
          <w:rFonts w:hint="eastAsia" w:ascii="仿宋_GB2312" w:hAnsi="仿宋_GB2312" w:eastAsia="仿宋_GB2312" w:cs="仿宋_GB2312"/>
          <w:kern w:val="0"/>
          <w:sz w:val="32"/>
          <w:szCs w:val="32"/>
          <w:u w:val="none"/>
        </w:rPr>
        <w:t>。与上年决算相比，增加 0.00万元，变动原因：未发生公务用车购置支出。</w:t>
      </w:r>
    </w:p>
    <w:p>
      <w:pPr>
        <w:widowControl/>
        <w:spacing w:before="240" w:after="240"/>
        <w:ind w:firstLine="640" w:firstLineChars="200"/>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（2）公务用车运行维护费支出 12.58万元。公务用车运行维护费主要用于按规定保留的公务用车的燃料费、维修费、过桥过路费、保险费、安全奖励费用等支出。截至2024年12月31日，使用财政拨款开支的公务用车保有量为8 辆。与上年决算相比，减少0.36万元，下降2.80%，变动原因：因</w:t>
      </w:r>
      <w:r>
        <w:rPr>
          <w:rFonts w:hint="eastAsia" w:ascii="仿宋_GB2312" w:hAnsi="仿宋_GB2312" w:eastAsia="仿宋_GB2312" w:cs="仿宋_GB2312"/>
          <w:kern w:val="0"/>
          <w:sz w:val="32"/>
          <w:szCs w:val="32"/>
          <w:u w:val="none"/>
          <w:lang w:val="en-US" w:eastAsia="zh-CN"/>
        </w:rPr>
        <w:t>年末</w:t>
      </w:r>
      <w:r>
        <w:rPr>
          <w:rFonts w:hint="eastAsia" w:ascii="仿宋_GB2312" w:hAnsi="仿宋_GB2312" w:eastAsia="仿宋_GB2312" w:cs="仿宋_GB2312"/>
          <w:kern w:val="0"/>
          <w:sz w:val="32"/>
          <w:szCs w:val="32"/>
          <w:u w:val="none"/>
        </w:rPr>
        <w:t>公务用车燃油及维修报账手续不全，存在尚未报账公务用车燃油及维修费用，所以导致公务用车运行维护费与上年决算相比，减少0.36万元。</w:t>
      </w:r>
    </w:p>
    <w:p>
      <w:pPr>
        <w:widowControl/>
        <w:spacing w:before="240" w:after="240"/>
        <w:ind w:firstLine="640" w:firstLineChars="200"/>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3.公务接待费支出 29.78万元。其中：国内公务接待支出 29.78万元，接待300 批次，2400 人次，开支内容：用于招商引资企业考察调研接待，上级部门检查验收接待，同级部门调研学习接待；国（境）外公务接待支出 0万元，接待0 批次，0 人次，开支内容：</w:t>
      </w:r>
      <w:r>
        <w:rPr>
          <w:rFonts w:hint="eastAsia" w:ascii="仿宋_GB2312" w:hAnsi="仿宋_GB2312" w:eastAsia="仿宋_GB2312" w:cs="仿宋_GB2312"/>
          <w:kern w:val="0"/>
          <w:sz w:val="32"/>
          <w:szCs w:val="32"/>
          <w:u w:val="none"/>
          <w:lang w:val="en-US" w:eastAsia="zh-CN"/>
        </w:rPr>
        <w:t>无</w:t>
      </w:r>
      <w:r>
        <w:rPr>
          <w:rFonts w:hint="eastAsia" w:ascii="仿宋_GB2312" w:hAnsi="仿宋_GB2312" w:eastAsia="仿宋_GB2312" w:cs="仿宋_GB2312"/>
          <w:kern w:val="0"/>
          <w:sz w:val="32"/>
          <w:szCs w:val="32"/>
          <w:u w:val="none"/>
        </w:rPr>
        <w:t>。与上年决算相比</w:t>
      </w:r>
      <w:r>
        <w:rPr>
          <w:rFonts w:hint="eastAsia" w:ascii="仿宋_GB2312" w:hAnsi="仿宋_GB2312" w:eastAsia="仿宋_GB2312" w:cs="仿宋_GB2312"/>
          <w:kern w:val="0"/>
          <w:sz w:val="32"/>
          <w:szCs w:val="32"/>
          <w:u w:val="none"/>
          <w:lang w:val="en-US" w:eastAsia="zh-CN"/>
        </w:rPr>
        <w:t>持平</w:t>
      </w:r>
      <w:r>
        <w:rPr>
          <w:rFonts w:hint="eastAsia" w:ascii="仿宋_GB2312" w:hAnsi="仿宋_GB2312" w:eastAsia="仿宋_GB2312" w:cs="仿宋_GB2312"/>
          <w:kern w:val="0"/>
          <w:sz w:val="32"/>
          <w:szCs w:val="32"/>
          <w:u w:val="none"/>
        </w:rPr>
        <w:t>。</w:t>
      </w:r>
    </w:p>
    <w:p>
      <w:pPr>
        <w:widowControl/>
        <w:spacing w:before="240" w:after="240"/>
        <w:jc w:val="left"/>
        <w:rPr>
          <w:rFonts w:hint="eastAsia"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hint="eastAsia" w:ascii="黑体" w:hAnsi="黑体" w:eastAsia="黑体" w:cs="黑体"/>
          <w:b w:val="0"/>
          <w:bCs w:val="0"/>
          <w:kern w:val="0"/>
          <w:sz w:val="32"/>
          <w:szCs w:val="32"/>
        </w:rPr>
        <w:t>九、政府性基金预算财政拨款支出决算情况说明</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内蒙古自治区鄂尔多斯空港物流园区管理委员会 2024年度政府性基金预算财政拨款支出决算781.86万元。与上年决算相比，减少2692.16万元，下降77.49%，变动原因：</w:t>
      </w:r>
      <w:r>
        <w:rPr>
          <w:rFonts w:hint="eastAsia" w:ascii="仿宋_GB2312" w:hAnsi="仿宋_GB2312" w:eastAsia="仿宋_GB2312" w:cs="仿宋_GB2312"/>
          <w:kern w:val="0"/>
          <w:sz w:val="32"/>
          <w:szCs w:val="32"/>
          <w:u w:val="none"/>
          <w:lang w:val="en-US" w:eastAsia="zh-CN"/>
        </w:rPr>
        <w:t>建设管理局重点项目建设项目支出减少</w:t>
      </w:r>
      <w:r>
        <w:rPr>
          <w:rFonts w:hint="eastAsia" w:ascii="仿宋_GB2312" w:hAnsi="仿宋_GB2312" w:eastAsia="仿宋_GB2312" w:cs="仿宋_GB2312"/>
          <w:kern w:val="0"/>
          <w:sz w:val="32"/>
          <w:szCs w:val="32"/>
          <w:u w:val="none"/>
        </w:rPr>
        <w:t>。其中：</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ascii="Times New Roman" w:hAnsi="Times New Roman" w:eastAsia="Times New Roman" w:cs="Times New Roman"/>
          <w:kern w:val="0"/>
          <w:sz w:val="24"/>
          <w:u w:val="none"/>
        </w:rPr>
      </w:pPr>
      <w:r>
        <w:rPr>
          <w:rFonts w:hint="eastAsia" w:ascii="仿宋_GB2312" w:hAnsi="仿宋_GB2312" w:eastAsia="仿宋_GB2312" w:cs="仿宋_GB2312"/>
          <w:kern w:val="0"/>
          <w:sz w:val="32"/>
          <w:szCs w:val="32"/>
          <w:u w:val="none"/>
        </w:rPr>
        <w:t>城乡社区支出（类）国有土地使用权出让收入安排的支出（款）其他国有土地使用权出让收入安排的支出（项）支出781.86万元，主要用于建设管理局土方平衡工程等项目</w:t>
      </w:r>
      <w:r>
        <w:rPr>
          <w:rFonts w:hint="eastAsia" w:ascii="仿宋_GB2312" w:hAnsi="仿宋_GB2312" w:eastAsia="仿宋_GB2312" w:cs="仿宋_GB2312"/>
          <w:kern w:val="0"/>
          <w:sz w:val="32"/>
          <w:szCs w:val="32"/>
          <w:u w:val="none"/>
          <w:lang w:val="en-US" w:eastAsia="zh-CN"/>
        </w:rPr>
        <w:t>、自然资源分局报批、控规修编及基准地价更新相关费用项目、土地测绘、出让及控规修编费用项目、林草地报批费用项目支出</w:t>
      </w:r>
      <w:r>
        <w:rPr>
          <w:rFonts w:hint="eastAsia" w:ascii="仿宋_GB2312" w:hAnsi="仿宋_GB2312" w:eastAsia="仿宋_GB2312" w:cs="仿宋_GB2312"/>
          <w:kern w:val="0"/>
          <w:sz w:val="32"/>
          <w:szCs w:val="32"/>
          <w:u w:val="none"/>
        </w:rPr>
        <w:t>。</w:t>
      </w:r>
      <w:r>
        <w:rPr>
          <w:rFonts w:ascii="fang_song_gb2312" w:hAnsi="fang_song_gb2312" w:eastAsia="fang_song_gb2312" w:cs="fang_song_gb2312"/>
          <w:color w:val="0E00FE"/>
          <w:kern w:val="0"/>
          <w:sz w:val="27"/>
          <w:szCs w:val="27"/>
          <w:u w:val="none"/>
        </w:rPr>
        <w:t xml:space="preserve">    </w:t>
      </w:r>
    </w:p>
    <w:p>
      <w:pPr>
        <w:widowControl/>
        <w:spacing w:before="240" w:after="240"/>
        <w:jc w:val="left"/>
        <w:rPr>
          <w:rFonts w:hint="eastAsia"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hint="eastAsia" w:ascii="黑体" w:hAnsi="黑体" w:eastAsia="黑体" w:cs="黑体"/>
          <w:b w:val="0"/>
          <w:bCs w:val="0"/>
          <w:kern w:val="0"/>
          <w:sz w:val="32"/>
          <w:szCs w:val="32"/>
        </w:rPr>
        <w:t xml:space="preserve"> 十、国有资本经营预算财政拨款支出决算情况说明</w:t>
      </w:r>
    </w:p>
    <w:p>
      <w:pPr>
        <w:widowControl/>
        <w:spacing w:before="240" w:after="240"/>
        <w:ind w:firstLine="640" w:firstLineChars="200"/>
        <w:rPr>
          <w:rFonts w:ascii="Times New Roman" w:hAnsi="Times New Roman" w:eastAsia="Times New Roman" w:cs="Times New Roman"/>
          <w:kern w:val="0"/>
          <w:sz w:val="24"/>
        </w:rPr>
      </w:pPr>
      <w:r>
        <w:rPr>
          <w:rFonts w:hint="eastAsia" w:ascii="仿宋_GB2312" w:hAnsi="仿宋_GB2312" w:eastAsia="仿宋_GB2312" w:cs="仿宋_GB2312"/>
          <w:kern w:val="0"/>
          <w:sz w:val="32"/>
          <w:szCs w:val="32"/>
          <w:u w:val="none"/>
        </w:rPr>
        <w:t>内蒙古自治区鄂尔多斯空港物流园区管理委员会202</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年度国有资本经营预算财政拨款支出决算 0.00万元。与上年决算相比，增加 0.00万元，变动原因：本单位无国有资本经营预算财政拨款收、支、余。</w:t>
      </w:r>
    </w:p>
    <w:p>
      <w:pPr>
        <w:widowControl/>
        <w:spacing w:before="240" w:after="240"/>
        <w:rPr>
          <w:rFonts w:hint="eastAsia"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hint="eastAsia" w:ascii="黑体" w:hAnsi="黑体" w:eastAsia="黑体" w:cs="黑体"/>
          <w:b w:val="0"/>
          <w:bCs w:val="0"/>
          <w:kern w:val="0"/>
          <w:sz w:val="32"/>
          <w:szCs w:val="32"/>
        </w:rPr>
        <w:t xml:space="preserve"> 十一、机构运行经费支出决算情况说明</w:t>
      </w:r>
    </w:p>
    <w:p>
      <w:pPr>
        <w:widowControl/>
        <w:spacing w:before="240" w:after="240"/>
        <w:ind w:firstLine="640" w:firstLineChars="200"/>
        <w:rPr>
          <w:rFonts w:ascii="fang_song_gb2312" w:hAnsi="fang_song_gb2312" w:eastAsia="fang_song_gb2312" w:cs="fang_song_gb2312"/>
          <w:color w:val="0E00FE"/>
          <w:kern w:val="0"/>
          <w:sz w:val="27"/>
          <w:szCs w:val="27"/>
        </w:rPr>
      </w:pPr>
      <w:r>
        <w:rPr>
          <w:rFonts w:hint="eastAsia" w:ascii="仿宋_GB2312" w:hAnsi="仿宋_GB2312" w:eastAsia="仿宋_GB2312" w:cs="仿宋_GB2312"/>
          <w:kern w:val="0"/>
          <w:sz w:val="32"/>
          <w:szCs w:val="32"/>
          <w:u w:val="none"/>
        </w:rPr>
        <w:t>内蒙古自治区鄂尔多斯空港物流园区管理委员会2024年度公用经费支出决算 601.45万元，与上年决算相比，减少1430.08万元，下降70.39%，变动原因：</w:t>
      </w:r>
      <w:r>
        <w:rPr>
          <w:rFonts w:hint="eastAsia" w:ascii="仿宋_GB2312" w:hAnsi="仿宋_GB2312" w:eastAsia="仿宋_GB2312" w:cs="仿宋_GB2312"/>
          <w:kern w:val="0"/>
          <w:sz w:val="32"/>
          <w:szCs w:val="32"/>
          <w:u w:val="none"/>
          <w:lang w:val="en-US" w:eastAsia="zh-CN"/>
        </w:rPr>
        <w:t>办公楼租赁费2023年在公用经费支出，2024年在项目支出</w:t>
      </w:r>
      <w:r>
        <w:rPr>
          <w:rFonts w:hint="eastAsia" w:ascii="仿宋_GB2312" w:hAnsi="仿宋_GB2312" w:eastAsia="仿宋_GB2312" w:cs="仿宋_GB2312"/>
          <w:kern w:val="0"/>
          <w:sz w:val="32"/>
          <w:szCs w:val="32"/>
          <w:u w:val="none"/>
        </w:rPr>
        <w:t>。其中，机关运行经费支出决算 598.54万元。比上年决算相比，减少1427.42万元，下降70.46%，变动原因：</w:t>
      </w:r>
      <w:r>
        <w:rPr>
          <w:rFonts w:hint="eastAsia" w:ascii="仿宋_GB2312" w:hAnsi="仿宋_GB2312" w:eastAsia="仿宋_GB2312" w:cs="仿宋_GB2312"/>
          <w:kern w:val="0"/>
          <w:sz w:val="32"/>
          <w:szCs w:val="32"/>
          <w:u w:val="none"/>
          <w:lang w:val="en-US" w:eastAsia="zh-CN"/>
        </w:rPr>
        <w:t>办公楼租赁费2023年在公用经费列支出，2024年在项目列支出</w:t>
      </w:r>
      <w:r>
        <w:rPr>
          <w:rFonts w:hint="eastAsia" w:ascii="仿宋_GB2312" w:hAnsi="仿宋_GB2312" w:eastAsia="仿宋_GB2312" w:cs="仿宋_GB2312"/>
          <w:kern w:val="0"/>
          <w:sz w:val="32"/>
          <w:szCs w:val="32"/>
          <w:u w:val="none"/>
        </w:rPr>
        <w:t>。</w:t>
      </w:r>
      <w:r>
        <w:rPr>
          <w:rFonts w:ascii="fang_song_gb2312" w:hAnsi="fang_song_gb2312" w:eastAsia="fang_song_gb2312" w:cs="fang_song_gb2312"/>
          <w:color w:val="0E00FE"/>
          <w:kern w:val="0"/>
          <w:sz w:val="27"/>
          <w:szCs w:val="27"/>
          <w:u w:val="none"/>
        </w:rPr>
        <w:t> </w:t>
      </w:r>
      <w:r>
        <w:rPr>
          <w:rFonts w:ascii="fang_song_gb2312" w:hAnsi="fang_song_gb2312" w:eastAsia="fang_song_gb2312" w:cs="fang_song_gb2312"/>
          <w:color w:val="0E00FE"/>
          <w:kern w:val="0"/>
          <w:sz w:val="27"/>
          <w:szCs w:val="27"/>
        </w:rPr>
        <w:t xml:space="preserve"> </w:t>
      </w:r>
    </w:p>
    <w:p>
      <w:pPr>
        <w:widowControl/>
        <w:spacing w:before="240" w:after="240"/>
        <w:jc w:val="left"/>
        <w:rPr>
          <w:rFonts w:hint="eastAsia"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hint="eastAsia" w:ascii="黑体" w:hAnsi="黑体" w:eastAsia="黑体" w:cs="黑体"/>
          <w:b w:val="0"/>
          <w:bCs w:val="0"/>
          <w:kern w:val="0"/>
          <w:sz w:val="32"/>
          <w:szCs w:val="32"/>
        </w:rPr>
        <w:t xml:space="preserve"> 十二、政府采购支出决算情况说明</w:t>
      </w:r>
    </w:p>
    <w:p>
      <w:pPr>
        <w:widowControl/>
        <w:spacing w:before="240" w:after="240"/>
        <w:ind w:firstLine="640" w:firstLineChars="200"/>
        <w:rPr>
          <w:rFonts w:ascii="Times New Roman" w:hAnsi="Times New Roman" w:eastAsia="Times New Roman" w:cs="Times New Roman"/>
          <w:kern w:val="0"/>
          <w:sz w:val="24"/>
        </w:rPr>
      </w:pPr>
      <w:r>
        <w:rPr>
          <w:rFonts w:hint="eastAsia" w:ascii="仿宋_GB2312" w:hAnsi="仿宋_GB2312" w:eastAsia="仿宋_GB2312" w:cs="仿宋_GB2312"/>
          <w:kern w:val="0"/>
          <w:sz w:val="32"/>
          <w:szCs w:val="32"/>
          <w:u w:val="none"/>
        </w:rPr>
        <w:t>内蒙古自治区鄂尔多斯空港物流园区管理委员会 2024年度政府采购支出总额 2582.17万元，其中：政府采购货物支出 407.18万元、政府采购工程支出 770.41万元、政府采购服务支出 1404.57万元。政府采购授予中小企业合同金额 1714.30万元，占政府采购支出总额的</w:t>
      </w:r>
      <w:r>
        <w:rPr>
          <w:rFonts w:hint="eastAsia" w:ascii="仿宋_GB2312" w:hAnsi="仿宋_GB2312" w:eastAsia="仿宋_GB2312" w:cs="仿宋_GB2312"/>
          <w:kern w:val="0"/>
          <w:sz w:val="32"/>
          <w:szCs w:val="32"/>
          <w:u w:val="none"/>
          <w:lang w:val="en-US" w:eastAsia="zh-CN"/>
        </w:rPr>
        <w:t>66.39</w:t>
      </w:r>
      <w:r>
        <w:rPr>
          <w:rFonts w:hint="eastAsia" w:ascii="仿宋_GB2312" w:hAnsi="仿宋_GB2312" w:eastAsia="仿宋_GB2312" w:cs="仿宋_GB2312"/>
          <w:kern w:val="0"/>
          <w:sz w:val="32"/>
          <w:szCs w:val="32"/>
          <w:u w:val="none"/>
        </w:rPr>
        <w:t>%，其中：授予小微企业合同金额1714.30万元，占政府采购支出总额的</w:t>
      </w:r>
      <w:r>
        <w:rPr>
          <w:rFonts w:hint="eastAsia" w:ascii="仿宋_GB2312" w:hAnsi="仿宋_GB2312" w:eastAsia="仿宋_GB2312" w:cs="仿宋_GB2312"/>
          <w:kern w:val="0"/>
          <w:sz w:val="32"/>
          <w:szCs w:val="32"/>
          <w:u w:val="none"/>
          <w:lang w:val="en-US" w:eastAsia="zh-CN"/>
        </w:rPr>
        <w:t>66.39</w:t>
      </w:r>
      <w:r>
        <w:rPr>
          <w:rFonts w:hint="eastAsia" w:ascii="仿宋_GB2312" w:hAnsi="仿宋_GB2312" w:eastAsia="仿宋_GB2312" w:cs="仿宋_GB2312"/>
          <w:kern w:val="0"/>
          <w:sz w:val="32"/>
          <w:szCs w:val="32"/>
          <w:u w:val="none"/>
        </w:rPr>
        <w:t>%；货物采购授予中小企业合同金额占货物支出金额的</w:t>
      </w:r>
      <w:r>
        <w:rPr>
          <w:rFonts w:hint="eastAsia" w:ascii="仿宋_GB2312" w:hAnsi="仿宋_GB2312" w:eastAsia="仿宋_GB2312" w:cs="仿宋_GB2312"/>
          <w:kern w:val="0"/>
          <w:sz w:val="32"/>
          <w:szCs w:val="32"/>
          <w:u w:val="none"/>
          <w:lang w:val="en-US" w:eastAsia="zh-CN"/>
        </w:rPr>
        <w:t>99.9</w:t>
      </w:r>
      <w:r>
        <w:rPr>
          <w:rFonts w:hint="eastAsia" w:ascii="仿宋_GB2312" w:hAnsi="仿宋_GB2312" w:eastAsia="仿宋_GB2312" w:cs="仿宋_GB2312"/>
          <w:kern w:val="0"/>
          <w:sz w:val="32"/>
          <w:szCs w:val="32"/>
          <w:u w:val="none"/>
        </w:rPr>
        <w:t>%，工程采购授予中小企业合同金额占工程支出金额的</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%，服务采购授予中小企业合同金额占服务支出金额的</w:t>
      </w:r>
      <w:r>
        <w:rPr>
          <w:rFonts w:hint="eastAsia" w:ascii="仿宋_GB2312" w:hAnsi="仿宋_GB2312" w:eastAsia="仿宋_GB2312" w:cs="仿宋_GB2312"/>
          <w:kern w:val="0"/>
          <w:sz w:val="32"/>
          <w:szCs w:val="32"/>
          <w:u w:val="none"/>
          <w:lang w:val="en-US" w:eastAsia="zh-CN"/>
        </w:rPr>
        <w:t>38.24</w:t>
      </w:r>
      <w:r>
        <w:rPr>
          <w:rFonts w:hint="eastAsia" w:ascii="仿宋_GB2312" w:hAnsi="仿宋_GB2312" w:eastAsia="仿宋_GB2312" w:cs="仿宋_GB2312"/>
          <w:kern w:val="0"/>
          <w:sz w:val="32"/>
          <w:szCs w:val="32"/>
          <w:u w:val="none"/>
        </w:rPr>
        <w:t>%。</w:t>
      </w:r>
    </w:p>
    <w:p>
      <w:pPr>
        <w:widowControl/>
        <w:spacing w:before="240" w:after="240"/>
        <w:jc w:val="left"/>
        <w:rPr>
          <w:rFonts w:hint="eastAsia"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hint="eastAsia" w:ascii="黑体" w:hAnsi="黑体" w:eastAsia="黑体" w:cs="黑体"/>
          <w:b w:val="0"/>
          <w:bCs w:val="0"/>
          <w:kern w:val="0"/>
          <w:sz w:val="32"/>
          <w:szCs w:val="32"/>
        </w:rPr>
        <w:t xml:space="preserve"> 十三、国有资产占用情况说明</w:t>
      </w:r>
    </w:p>
    <w:p>
      <w:pPr>
        <w:widowControl/>
        <w:spacing w:before="240" w:after="240"/>
        <w:ind w:firstLine="640" w:firstLineChars="200"/>
        <w:jc w:val="left"/>
        <w:rPr>
          <w:rFonts w:ascii="Calibri" w:hAnsi="Calibri" w:eastAsia="Calibri" w:cs="Calibri"/>
          <w:b/>
          <w:bCs/>
          <w:kern w:val="0"/>
          <w:sz w:val="27"/>
          <w:szCs w:val="27"/>
        </w:rPr>
      </w:pPr>
      <w:r>
        <w:rPr>
          <w:rFonts w:hint="eastAsia" w:ascii="仿宋_GB2312" w:hAnsi="仿宋_GB2312" w:eastAsia="仿宋_GB2312" w:cs="仿宋_GB2312"/>
          <w:kern w:val="0"/>
          <w:sz w:val="32"/>
          <w:szCs w:val="32"/>
          <w:u w:val="none"/>
        </w:rPr>
        <w:t>内蒙古自治区鄂尔多斯空港物流园区管理委员会截至2024年12月31日，本单位共有车辆 8辆，其中：副部（省）级及以上领导用车0 辆、主要负责人用车 0辆、机要通信用车 1辆、应急保障用车 4辆、执法执勤用车 0辆、特种专业技术用车 1辆、离退休干部服务用车 0辆，其他用车 2辆；单价100万元（含）以上的设备（不含车辆） 0台（套）。</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p>
    <w:p>
      <w:pPr>
        <w:widowControl/>
        <w:spacing w:before="240" w:after="240"/>
        <w:ind w:firstLine="320" w:firstLineChars="100"/>
        <w:jc w:val="left"/>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 xml:space="preserve"> 十四、预算绩效情况说明</w:t>
      </w:r>
    </w:p>
    <w:p>
      <w:pPr>
        <w:widowControl/>
        <w:spacing w:before="240" w:after="240"/>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rPr>
        <w:t>（一）预算绩效管理工作开展情况。</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内蒙古自治区鄂尔多斯空港物流园区管理委员会根据预算绩效管理要求组织对202</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年一般公共预算项目支出全面开展绩效自评，</w:t>
      </w:r>
      <w:r>
        <w:rPr>
          <w:rFonts w:hint="eastAsia" w:ascii="仿宋_GB2312" w:hAnsi="仿宋_GB2312" w:eastAsia="仿宋_GB2312" w:cs="仿宋_GB2312"/>
          <w:kern w:val="0"/>
          <w:sz w:val="32"/>
          <w:szCs w:val="32"/>
          <w:u w:val="none"/>
          <w:lang w:val="en-US" w:eastAsia="zh-CN"/>
        </w:rPr>
        <w:t>共涉及</w:t>
      </w:r>
      <w:r>
        <w:rPr>
          <w:rFonts w:hint="eastAsia" w:ascii="仿宋_GB2312" w:hAnsi="仿宋_GB2312" w:eastAsia="仿宋_GB2312" w:cs="仿宋_GB2312"/>
          <w:kern w:val="0"/>
          <w:sz w:val="32"/>
          <w:szCs w:val="32"/>
          <w:u w:val="none"/>
        </w:rPr>
        <w:t>项目</w:t>
      </w:r>
      <w:r>
        <w:rPr>
          <w:rFonts w:hint="eastAsia" w:ascii="仿宋_GB2312" w:hAnsi="仿宋_GB2312" w:eastAsia="仿宋_GB2312" w:cs="仿宋_GB2312"/>
          <w:kern w:val="0"/>
          <w:sz w:val="32"/>
          <w:szCs w:val="32"/>
          <w:u w:val="none"/>
          <w:lang w:val="en-US" w:eastAsia="zh-CN"/>
        </w:rPr>
        <w:t>89</w:t>
      </w:r>
      <w:r>
        <w:rPr>
          <w:rFonts w:hint="eastAsia" w:ascii="仿宋_GB2312" w:hAnsi="仿宋_GB2312" w:eastAsia="仿宋_GB2312" w:cs="仿宋_GB2312"/>
          <w:kern w:val="0"/>
          <w:sz w:val="32"/>
          <w:szCs w:val="32"/>
          <w:u w:val="none"/>
        </w:rPr>
        <w:t>个，共涉及资金</w:t>
      </w:r>
      <w:r>
        <w:rPr>
          <w:rFonts w:hint="eastAsia" w:ascii="仿宋_GB2312" w:hAnsi="仿宋_GB2312" w:eastAsia="仿宋_GB2312" w:cs="仿宋_GB2312"/>
          <w:kern w:val="0"/>
          <w:sz w:val="32"/>
          <w:szCs w:val="32"/>
          <w:u w:val="none"/>
          <w:lang w:val="en-US" w:eastAsia="zh-CN"/>
        </w:rPr>
        <w:t>18440.28</w:t>
      </w:r>
      <w:r>
        <w:rPr>
          <w:rFonts w:hint="eastAsia" w:ascii="仿宋_GB2312" w:hAnsi="仿宋_GB2312" w:eastAsia="仿宋_GB2312" w:cs="仿宋_GB2312"/>
          <w:kern w:val="0"/>
          <w:sz w:val="32"/>
          <w:szCs w:val="32"/>
          <w:u w:val="none"/>
        </w:rPr>
        <w:t>万元，占一般公共预算项目支出总额的100%；政府性基金预算项目</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个，</w:t>
      </w:r>
      <w:r>
        <w:rPr>
          <w:rFonts w:hint="eastAsia" w:ascii="仿宋_GB2312" w:hAnsi="仿宋_GB2312" w:eastAsia="仿宋_GB2312" w:cs="仿宋_GB2312"/>
          <w:kern w:val="0"/>
          <w:sz w:val="32"/>
          <w:szCs w:val="32"/>
          <w:u w:val="none"/>
          <w:lang w:val="en-US" w:eastAsia="zh-CN"/>
        </w:rPr>
        <w:t>共涉及</w:t>
      </w:r>
      <w:r>
        <w:rPr>
          <w:rFonts w:hint="eastAsia" w:ascii="仿宋_GB2312" w:hAnsi="仿宋_GB2312" w:eastAsia="仿宋_GB2312" w:cs="仿宋_GB2312"/>
          <w:kern w:val="0"/>
          <w:sz w:val="32"/>
          <w:szCs w:val="32"/>
          <w:u w:val="none"/>
        </w:rPr>
        <w:t>项目</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个，共涉及资金</w:t>
      </w:r>
      <w:r>
        <w:rPr>
          <w:rFonts w:hint="eastAsia" w:ascii="仿宋_GB2312" w:hAnsi="仿宋_GB2312" w:eastAsia="仿宋_GB2312" w:cs="仿宋_GB2312"/>
          <w:kern w:val="0"/>
          <w:sz w:val="32"/>
          <w:szCs w:val="32"/>
          <w:u w:val="none"/>
          <w:lang w:val="en-US" w:eastAsia="zh-CN"/>
        </w:rPr>
        <w:t>781.86</w:t>
      </w:r>
      <w:r>
        <w:rPr>
          <w:rFonts w:hint="eastAsia" w:ascii="仿宋_GB2312" w:hAnsi="仿宋_GB2312" w:eastAsia="仿宋_GB2312" w:cs="仿宋_GB2312"/>
          <w:kern w:val="0"/>
          <w:sz w:val="32"/>
          <w:szCs w:val="32"/>
          <w:u w:val="none"/>
        </w:rPr>
        <w:t>万元</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占应纳入绩效自评的政府性基金预算项目支出总额的100%。</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本单位未对项目开展重点绩效评价。</w:t>
      </w:r>
    </w:p>
    <w:p>
      <w:pPr>
        <w:widowControl/>
        <w:spacing w:before="240" w:after="240"/>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rPr>
        <w:t>（二）单位决算中项目绩效自评结果。</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内蒙古自治区鄂尔多斯空港物流园区管理委员会202</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年度在决算中反映</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个一般公共预算项目，以及</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rPr>
        <w:t>个政府性基金项目， 共</w:t>
      </w:r>
      <w:r>
        <w:rPr>
          <w:rFonts w:hint="eastAsia" w:ascii="仿宋_GB2312" w:hAnsi="仿宋_GB2312" w:eastAsia="仿宋_GB2312" w:cs="仿宋_GB2312"/>
          <w:kern w:val="0"/>
          <w:sz w:val="32"/>
          <w:szCs w:val="32"/>
          <w:u w:val="none"/>
          <w:lang w:val="en-US" w:eastAsia="zh-CN"/>
        </w:rPr>
        <w:t>5</w:t>
      </w:r>
      <w:r>
        <w:rPr>
          <w:rFonts w:hint="eastAsia" w:ascii="仿宋_GB2312" w:hAnsi="仿宋_GB2312" w:eastAsia="仿宋_GB2312" w:cs="仿宋_GB2312"/>
          <w:kern w:val="0"/>
          <w:sz w:val="32"/>
          <w:szCs w:val="32"/>
          <w:u w:val="none"/>
        </w:rPr>
        <w:t>个项目的绩效自评结果。</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1.财政金融局</w:t>
      </w:r>
      <w:r>
        <w:rPr>
          <w:rFonts w:hint="eastAsia" w:ascii="仿宋_GB2312" w:hAnsi="仿宋_GB2312" w:eastAsia="仿宋_GB2312" w:cs="仿宋_GB2312"/>
          <w:kern w:val="0"/>
          <w:sz w:val="32"/>
          <w:szCs w:val="32"/>
          <w:u w:val="none"/>
          <w:lang w:val="en-US" w:eastAsia="zh-CN"/>
        </w:rPr>
        <w:t>业务经费</w:t>
      </w:r>
      <w:r>
        <w:rPr>
          <w:rFonts w:hint="eastAsia" w:ascii="仿宋_GB2312" w:hAnsi="仿宋_GB2312" w:eastAsia="仿宋_GB2312" w:cs="仿宋_GB2312"/>
          <w:kern w:val="0"/>
          <w:sz w:val="32"/>
          <w:szCs w:val="32"/>
          <w:u w:val="none"/>
        </w:rPr>
        <w:t>项目自评综述：根据年初设定的绩效目标，项目自评得分</w:t>
      </w:r>
      <w:r>
        <w:rPr>
          <w:rFonts w:hint="eastAsia" w:ascii="仿宋_GB2312" w:hAnsi="仿宋_GB2312" w:eastAsia="仿宋_GB2312" w:cs="仿宋_GB2312"/>
          <w:kern w:val="0"/>
          <w:sz w:val="32"/>
          <w:szCs w:val="32"/>
          <w:u w:val="none"/>
          <w:lang w:val="en-US" w:eastAsia="zh-CN"/>
        </w:rPr>
        <w:t>97.86</w:t>
      </w:r>
      <w:r>
        <w:rPr>
          <w:rFonts w:hint="eastAsia" w:ascii="仿宋_GB2312" w:hAnsi="仿宋_GB2312" w:eastAsia="仿宋_GB2312" w:cs="仿宋_GB2312"/>
          <w:kern w:val="0"/>
          <w:sz w:val="32"/>
          <w:szCs w:val="32"/>
          <w:u w:val="none"/>
        </w:rPr>
        <w:t>分。全年预算数为</w:t>
      </w:r>
      <w:r>
        <w:rPr>
          <w:rFonts w:hint="eastAsia" w:ascii="仿宋_GB2312" w:hAnsi="仿宋_GB2312" w:eastAsia="仿宋_GB2312" w:cs="仿宋_GB2312"/>
          <w:kern w:val="0"/>
          <w:sz w:val="32"/>
          <w:szCs w:val="32"/>
          <w:u w:val="none"/>
          <w:lang w:val="en-US" w:eastAsia="zh-CN"/>
        </w:rPr>
        <w:t>35</w:t>
      </w:r>
      <w:r>
        <w:rPr>
          <w:rFonts w:hint="eastAsia" w:ascii="仿宋_GB2312" w:hAnsi="仿宋_GB2312" w:eastAsia="仿宋_GB2312" w:cs="仿宋_GB2312"/>
          <w:kern w:val="0"/>
          <w:sz w:val="32"/>
          <w:szCs w:val="32"/>
          <w:u w:val="none"/>
        </w:rPr>
        <w:t>万元，执行数为</w:t>
      </w:r>
      <w:r>
        <w:rPr>
          <w:rFonts w:hint="eastAsia" w:ascii="仿宋_GB2312" w:hAnsi="仿宋_GB2312" w:eastAsia="仿宋_GB2312" w:cs="仿宋_GB2312"/>
          <w:kern w:val="0"/>
          <w:sz w:val="32"/>
          <w:szCs w:val="32"/>
          <w:u w:val="none"/>
          <w:lang w:val="en-US" w:eastAsia="zh-CN"/>
        </w:rPr>
        <w:t>27.5</w:t>
      </w:r>
      <w:r>
        <w:rPr>
          <w:rFonts w:hint="eastAsia" w:ascii="仿宋_GB2312" w:hAnsi="仿宋_GB2312" w:eastAsia="仿宋_GB2312" w:cs="仿宋_GB2312"/>
          <w:kern w:val="0"/>
          <w:sz w:val="32"/>
          <w:szCs w:val="32"/>
          <w:u w:val="none"/>
        </w:rPr>
        <w:t>万元，完成预算的</w:t>
      </w:r>
      <w:r>
        <w:rPr>
          <w:rFonts w:hint="eastAsia" w:ascii="仿宋_GB2312" w:hAnsi="仿宋_GB2312" w:eastAsia="仿宋_GB2312" w:cs="仿宋_GB2312"/>
          <w:kern w:val="0"/>
          <w:sz w:val="32"/>
          <w:szCs w:val="32"/>
          <w:u w:val="none"/>
          <w:lang w:val="en-US" w:eastAsia="zh-CN"/>
        </w:rPr>
        <w:t>78.57</w:t>
      </w:r>
      <w:r>
        <w:rPr>
          <w:rFonts w:hint="eastAsia" w:ascii="仿宋_GB2312" w:hAnsi="仿宋_GB2312" w:eastAsia="仿宋_GB2312" w:cs="仿宋_GB2312"/>
          <w:kern w:val="0"/>
          <w:sz w:val="32"/>
          <w:szCs w:val="32"/>
          <w:u w:val="none"/>
        </w:rPr>
        <w:t>%。项目绩效目标完成情况：按照年初预算安排计划，完成了2024年所有项目的预算绩效评价工作，</w:t>
      </w:r>
      <w:r>
        <w:rPr>
          <w:rFonts w:hint="eastAsia" w:ascii="仿宋_GB2312" w:hAnsi="仿宋_GB2312" w:eastAsia="仿宋_GB2312" w:cs="仿宋_GB2312"/>
          <w:kern w:val="0"/>
          <w:sz w:val="32"/>
          <w:szCs w:val="32"/>
          <w:u w:val="none"/>
          <w:lang w:val="en-US" w:eastAsia="zh-CN"/>
        </w:rPr>
        <w:t>业务咨询覆盖率、业务咨询项目完成及时率、成本控制率等核心指标都达到预期比例，</w:t>
      </w:r>
      <w:r>
        <w:rPr>
          <w:rFonts w:hint="eastAsia" w:ascii="仿宋_GB2312" w:hAnsi="仿宋_GB2312" w:eastAsia="仿宋_GB2312" w:cs="仿宋_GB2312"/>
          <w:kern w:val="0"/>
          <w:sz w:val="32"/>
          <w:szCs w:val="32"/>
          <w:u w:val="none"/>
        </w:rPr>
        <w:t>提高了工作质量和效率</w:t>
      </w:r>
      <w:r>
        <w:rPr>
          <w:rFonts w:hint="eastAsia" w:ascii="仿宋_GB2312" w:hAnsi="仿宋_GB2312" w:eastAsia="仿宋_GB2312" w:cs="仿宋_GB2312"/>
          <w:kern w:val="0"/>
          <w:sz w:val="32"/>
          <w:szCs w:val="32"/>
          <w:u w:val="none"/>
          <w:lang w:eastAsia="zh-CN"/>
        </w:rPr>
        <w:t>，为下一步开展绩效评价工作提供了</w:t>
      </w:r>
      <w:r>
        <w:rPr>
          <w:rFonts w:hint="eastAsia" w:ascii="仿宋_GB2312" w:hAnsi="仿宋_GB2312" w:eastAsia="仿宋_GB2312" w:cs="仿宋_GB2312"/>
          <w:kern w:val="0"/>
          <w:sz w:val="32"/>
          <w:szCs w:val="32"/>
          <w:u w:val="none"/>
          <w:lang w:val="en-US" w:eastAsia="zh-CN"/>
        </w:rPr>
        <w:t>保证</w:t>
      </w:r>
      <w:r>
        <w:rPr>
          <w:rFonts w:hint="eastAsia" w:ascii="仿宋_GB2312" w:hAnsi="仿宋_GB2312" w:eastAsia="仿宋_GB2312" w:cs="仿宋_GB2312"/>
          <w:kern w:val="0"/>
          <w:sz w:val="32"/>
          <w:szCs w:val="32"/>
          <w:u w:val="none"/>
        </w:rPr>
        <w:t>。发现的主要问题：</w:t>
      </w:r>
      <w:r>
        <w:rPr>
          <w:rFonts w:hint="eastAsia" w:ascii="仿宋_GB2312" w:hAnsi="仿宋_GB2312" w:eastAsia="仿宋_GB2312" w:cs="仿宋_GB2312"/>
          <w:kern w:val="0"/>
          <w:sz w:val="32"/>
          <w:szCs w:val="32"/>
          <w:u w:val="none"/>
          <w:lang w:val="en-US" w:eastAsia="zh-CN"/>
        </w:rPr>
        <w:t>绩效目标设立不够明确、细化和量化，资金使用效益有待进一步提高。原因：预算编制及自评</w:t>
      </w:r>
      <w:r>
        <w:rPr>
          <w:rFonts w:hint="default" w:ascii="仿宋_GB2312" w:hAnsi="仿宋_GB2312" w:eastAsia="仿宋_GB2312" w:cs="仿宋_GB2312"/>
          <w:kern w:val="0"/>
          <w:sz w:val="32"/>
          <w:szCs w:val="32"/>
          <w:u w:val="none"/>
          <w:lang w:val="en-US" w:eastAsia="zh-CN"/>
        </w:rPr>
        <w:t>经办人员相关的政策、业务</w:t>
      </w:r>
      <w:r>
        <w:rPr>
          <w:rFonts w:hint="eastAsia" w:ascii="仿宋_GB2312" w:hAnsi="仿宋_GB2312" w:eastAsia="仿宋_GB2312" w:cs="仿宋_GB2312"/>
          <w:kern w:val="0"/>
          <w:sz w:val="32"/>
          <w:szCs w:val="32"/>
          <w:u w:val="none"/>
          <w:lang w:val="en-US" w:eastAsia="zh-CN"/>
        </w:rPr>
        <w:t>专业性不强。</w:t>
      </w:r>
      <w:r>
        <w:rPr>
          <w:rFonts w:hint="eastAsia" w:ascii="仿宋_GB2312" w:hAnsi="仿宋_GB2312" w:eastAsia="仿宋_GB2312" w:cs="仿宋_GB2312"/>
          <w:kern w:val="0"/>
          <w:sz w:val="32"/>
          <w:szCs w:val="32"/>
          <w:u w:val="none"/>
        </w:rPr>
        <w:t>下一步改进措施：</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预算财务分析常态化，定期做好预算支出财务分析，做好部门整体支出预算评价工作。</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在确保项目高效运转的情况下，加强项目经费管理。</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加强单位预算编制工作，根据人员情况、业务开展需要，逐项做出预算计划，预算合理、不留缺口、不留空项。</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业务培训，提高评价水平，项目支出绩效自评工作是一项长期性工作，专业性强，工作量大，建议财政部门进一步加强开展部门领导及经办人员相关的政策、业务工作培训，组织开展部门之间、单位之间的经验交流，切实推进绩效评价工作的开展。</w:t>
      </w:r>
    </w:p>
    <w:tbl>
      <w:tblPr>
        <w:tblStyle w:val="19"/>
        <w:tblW w:w="96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76"/>
        <w:gridCol w:w="764"/>
        <w:gridCol w:w="765"/>
        <w:gridCol w:w="1"/>
        <w:gridCol w:w="1001"/>
        <w:gridCol w:w="1"/>
        <w:gridCol w:w="798"/>
        <w:gridCol w:w="765"/>
        <w:gridCol w:w="848"/>
        <w:gridCol w:w="680"/>
        <w:gridCol w:w="714"/>
        <w:gridCol w:w="1"/>
        <w:gridCol w:w="799"/>
        <w:gridCol w:w="797"/>
        <w:gridCol w:w="10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436" w:hRule="atLeast"/>
        </w:trPr>
        <w:tc>
          <w:tcPr>
            <w:tcW w:w="9680" w:type="dxa"/>
            <w:gridSpan w:val="1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项目支出绩效自评表</w:t>
            </w:r>
            <w:r>
              <w:rPr>
                <w:rFonts w:hint="eastAsia" w:ascii="宋体" w:hAnsi="宋体" w:eastAsia="宋体" w:cs="宋体"/>
                <w:b/>
                <w:i w:val="0"/>
                <w:color w:val="000000"/>
                <w:kern w:val="0"/>
                <w:sz w:val="40"/>
                <w:szCs w:val="40"/>
                <w:u w:val="none"/>
                <w:lang w:val="en-US" w:eastAsia="zh-CN" w:bidi="ar"/>
              </w:rPr>
              <w:br w:type="textWrapping"/>
            </w:r>
            <w:r>
              <w:rPr>
                <w:rFonts w:hint="eastAsia" w:ascii="宋体" w:hAnsi="宋体" w:eastAsia="宋体" w:cs="宋体"/>
                <w:b/>
                <w:i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7" w:hRule="atLeast"/>
        </w:trPr>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240"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财政金融局—业务经费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42" w:hRule="atLeast"/>
        </w:trPr>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33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鄂尔多斯空港物流园区管理委员会（部门）</w:t>
            </w:r>
          </w:p>
        </w:tc>
        <w:tc>
          <w:tcPr>
            <w:tcW w:w="15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38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鄂尔多斯空港物流园区管理委员会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42" w:hRule="atLeast"/>
        </w:trPr>
        <w:tc>
          <w:tcPr>
            <w:tcW w:w="14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（万元）</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5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5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42" w:hRule="atLeast"/>
        </w:trPr>
        <w:tc>
          <w:tcPr>
            <w:tcW w:w="14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10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15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15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27.5</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78.57</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84" w:hRule="atLeast"/>
        </w:trPr>
        <w:tc>
          <w:tcPr>
            <w:tcW w:w="14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10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15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15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27.5</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78.57</w:t>
            </w:r>
          </w:p>
        </w:tc>
        <w:tc>
          <w:tcPr>
            <w:tcW w:w="10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42" w:hRule="atLeast"/>
        </w:trPr>
        <w:tc>
          <w:tcPr>
            <w:tcW w:w="14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10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42" w:hRule="atLeast"/>
        </w:trPr>
        <w:tc>
          <w:tcPr>
            <w:tcW w:w="14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0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7" w:hRule="atLeast"/>
        </w:trPr>
        <w:tc>
          <w:tcPr>
            <w:tcW w:w="14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17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06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436" w:hRule="atLeast"/>
        </w:trPr>
        <w:tc>
          <w:tcPr>
            <w:tcW w:w="14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17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为推进园区重点预算项目，按时保质保量完成预算绩效评价。</w:t>
            </w:r>
          </w:p>
        </w:tc>
        <w:tc>
          <w:tcPr>
            <w:tcW w:w="406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按照年初预算安排计划，完成了2024年所有项目的预算绩效评价工作，提高了工作质量和效率，为下一步开展绩效评价工作提供了遵循。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85"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10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7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7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85" w:hRule="atLeast"/>
        </w:trPr>
        <w:tc>
          <w:tcPr>
            <w:tcW w:w="67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76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766"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0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业务咨询种类</w:t>
            </w:r>
          </w:p>
        </w:tc>
        <w:tc>
          <w:tcPr>
            <w:tcW w:w="7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6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种</w:t>
            </w:r>
          </w:p>
        </w:tc>
        <w:tc>
          <w:tcPr>
            <w:tcW w:w="80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7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按照年初预算安排，序时完成。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85" w:hRule="atLeast"/>
        </w:trPr>
        <w:tc>
          <w:tcPr>
            <w:tcW w:w="67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业务咨询次数</w:t>
            </w:r>
          </w:p>
        </w:tc>
        <w:tc>
          <w:tcPr>
            <w:tcW w:w="7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6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80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7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按照年初预算安排，序时完成。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85" w:hRule="atLeast"/>
        </w:trPr>
        <w:tc>
          <w:tcPr>
            <w:tcW w:w="67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0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工作目标完成率</w:t>
            </w:r>
          </w:p>
        </w:tc>
        <w:tc>
          <w:tcPr>
            <w:tcW w:w="7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6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7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0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7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按照年初预算安排，序时完成。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85" w:hRule="atLeast"/>
        </w:trPr>
        <w:tc>
          <w:tcPr>
            <w:tcW w:w="67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业务咨询覆盖率</w:t>
            </w:r>
          </w:p>
        </w:tc>
        <w:tc>
          <w:tcPr>
            <w:tcW w:w="7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6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7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0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7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按照年初预算安排，序时完成。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85" w:hRule="atLeast"/>
        </w:trPr>
        <w:tc>
          <w:tcPr>
            <w:tcW w:w="67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10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业务咨询项目完成及时率</w:t>
            </w:r>
          </w:p>
        </w:tc>
        <w:tc>
          <w:tcPr>
            <w:tcW w:w="7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6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7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0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7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按照年初预算安排，序时完成。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85" w:hRule="atLeast"/>
        </w:trPr>
        <w:tc>
          <w:tcPr>
            <w:tcW w:w="67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业务开展及时性</w:t>
            </w:r>
          </w:p>
        </w:tc>
        <w:tc>
          <w:tcPr>
            <w:tcW w:w="7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每年开展</w:t>
            </w:r>
          </w:p>
        </w:tc>
        <w:tc>
          <w:tcPr>
            <w:tcW w:w="6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w:t>
            </w:r>
          </w:p>
        </w:tc>
        <w:tc>
          <w:tcPr>
            <w:tcW w:w="7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7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按照年初预算安排，序时完成。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085" w:hRule="atLeast"/>
        </w:trPr>
        <w:tc>
          <w:tcPr>
            <w:tcW w:w="67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10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业务咨询费用成本</w:t>
            </w:r>
          </w:p>
        </w:tc>
        <w:tc>
          <w:tcPr>
            <w:tcW w:w="7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7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27.50</w:t>
            </w:r>
          </w:p>
        </w:tc>
        <w:tc>
          <w:tcPr>
            <w:tcW w:w="7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0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7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按照年初预算安排，序时完成。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85" w:hRule="atLeast"/>
        </w:trPr>
        <w:tc>
          <w:tcPr>
            <w:tcW w:w="67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成本控制率</w:t>
            </w:r>
          </w:p>
        </w:tc>
        <w:tc>
          <w:tcPr>
            <w:tcW w:w="7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6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7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0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7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按照年初预算安排，序时完成。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085" w:hRule="atLeast"/>
        </w:trPr>
        <w:tc>
          <w:tcPr>
            <w:tcW w:w="67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76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0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业务咨询工作实施完成率</w:t>
            </w:r>
          </w:p>
        </w:tc>
        <w:tc>
          <w:tcPr>
            <w:tcW w:w="7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6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7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7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07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按照年初预算安排，序时完成。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85" w:hRule="atLeast"/>
        </w:trPr>
        <w:tc>
          <w:tcPr>
            <w:tcW w:w="67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10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对业务咨询工作的持续影响</w:t>
            </w:r>
          </w:p>
        </w:tc>
        <w:tc>
          <w:tcPr>
            <w:tcW w:w="7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c>
          <w:tcPr>
            <w:tcW w:w="6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c>
          <w:tcPr>
            <w:tcW w:w="7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7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07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按照年初预算安排，序时完成。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85" w:hRule="atLeast"/>
        </w:trPr>
        <w:tc>
          <w:tcPr>
            <w:tcW w:w="67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76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0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业务咨询单位满意度</w:t>
            </w:r>
          </w:p>
        </w:tc>
        <w:tc>
          <w:tcPr>
            <w:tcW w:w="7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6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7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0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7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按照年初预算安排，序时完成。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29" w:hRule="atLeast"/>
        </w:trPr>
        <w:tc>
          <w:tcPr>
            <w:tcW w:w="7013"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97.86</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rPr>
        <w:t>.建设管理局环卫专项项目自评综述：根据年初设定的绩效目标，项目自评得分</w:t>
      </w:r>
      <w:r>
        <w:rPr>
          <w:rFonts w:hint="eastAsia" w:ascii="仿宋_GB2312" w:hAnsi="仿宋_GB2312" w:eastAsia="仿宋_GB2312" w:cs="仿宋_GB2312"/>
          <w:kern w:val="0"/>
          <w:sz w:val="32"/>
          <w:szCs w:val="32"/>
          <w:u w:val="none"/>
          <w:lang w:val="en-US" w:eastAsia="zh-CN"/>
        </w:rPr>
        <w:t>91.82</w:t>
      </w:r>
      <w:r>
        <w:rPr>
          <w:rFonts w:hint="eastAsia" w:ascii="仿宋_GB2312" w:hAnsi="仿宋_GB2312" w:eastAsia="仿宋_GB2312" w:cs="仿宋_GB2312"/>
          <w:kern w:val="0"/>
          <w:sz w:val="32"/>
          <w:szCs w:val="32"/>
          <w:u w:val="none"/>
        </w:rPr>
        <w:t>分。全年预算数为</w:t>
      </w:r>
      <w:r>
        <w:rPr>
          <w:rFonts w:hint="eastAsia" w:ascii="仿宋_GB2312" w:hAnsi="仿宋_GB2312" w:eastAsia="仿宋_GB2312" w:cs="仿宋_GB2312"/>
          <w:kern w:val="0"/>
          <w:sz w:val="32"/>
          <w:szCs w:val="32"/>
          <w:u w:val="none"/>
          <w:lang w:val="en-US" w:eastAsia="zh-CN"/>
        </w:rPr>
        <w:t>370</w:t>
      </w:r>
      <w:r>
        <w:rPr>
          <w:rFonts w:hint="eastAsia" w:ascii="仿宋_GB2312" w:hAnsi="仿宋_GB2312" w:eastAsia="仿宋_GB2312" w:cs="仿宋_GB2312"/>
          <w:kern w:val="0"/>
          <w:sz w:val="32"/>
          <w:szCs w:val="32"/>
          <w:u w:val="none"/>
        </w:rPr>
        <w:t>万元，执行数为</w:t>
      </w:r>
      <w:r>
        <w:rPr>
          <w:rFonts w:hint="eastAsia" w:ascii="仿宋_GB2312" w:hAnsi="仿宋_GB2312" w:eastAsia="仿宋_GB2312" w:cs="仿宋_GB2312"/>
          <w:kern w:val="0"/>
          <w:sz w:val="32"/>
          <w:szCs w:val="32"/>
          <w:u w:val="none"/>
          <w:lang w:val="en-US" w:eastAsia="zh-CN"/>
        </w:rPr>
        <w:t>104.43</w:t>
      </w:r>
      <w:r>
        <w:rPr>
          <w:rFonts w:hint="eastAsia" w:ascii="仿宋_GB2312" w:hAnsi="仿宋_GB2312" w:eastAsia="仿宋_GB2312" w:cs="仿宋_GB2312"/>
          <w:kern w:val="0"/>
          <w:sz w:val="32"/>
          <w:szCs w:val="32"/>
          <w:u w:val="none"/>
        </w:rPr>
        <w:t>万元，完成预算的</w:t>
      </w:r>
      <w:r>
        <w:rPr>
          <w:rFonts w:hint="eastAsia" w:ascii="仿宋_GB2312" w:hAnsi="仿宋_GB2312" w:eastAsia="仿宋_GB2312" w:cs="仿宋_GB2312"/>
          <w:kern w:val="0"/>
          <w:sz w:val="32"/>
          <w:szCs w:val="32"/>
          <w:u w:val="none"/>
          <w:lang w:val="en-US" w:eastAsia="zh-CN"/>
        </w:rPr>
        <w:t>28.22</w:t>
      </w:r>
      <w:r>
        <w:rPr>
          <w:rFonts w:hint="eastAsia" w:ascii="仿宋_GB2312" w:hAnsi="仿宋_GB2312" w:eastAsia="仿宋_GB2312" w:cs="仿宋_GB2312"/>
          <w:kern w:val="0"/>
          <w:sz w:val="32"/>
          <w:szCs w:val="32"/>
          <w:u w:val="none"/>
        </w:rPr>
        <w:t>%。项目绩效目标完成情况：按照年初预算安排计划，完成了2024年</w:t>
      </w:r>
      <w:r>
        <w:rPr>
          <w:rFonts w:hint="eastAsia" w:ascii="仿宋_GB2312" w:hAnsi="仿宋_GB2312" w:eastAsia="仿宋_GB2312" w:cs="仿宋_GB2312"/>
          <w:kern w:val="0"/>
          <w:sz w:val="32"/>
          <w:szCs w:val="32"/>
          <w:u w:val="none"/>
          <w:lang w:val="en-US" w:eastAsia="zh-CN"/>
        </w:rPr>
        <w:t>市政环卫工作</w:t>
      </w:r>
      <w:r>
        <w:rPr>
          <w:rFonts w:hint="eastAsia" w:ascii="仿宋_GB2312" w:hAnsi="仿宋_GB2312" w:eastAsia="仿宋_GB2312" w:cs="仿宋_GB2312"/>
          <w:kern w:val="0"/>
          <w:sz w:val="32"/>
          <w:szCs w:val="32"/>
          <w:u w:val="none"/>
        </w:rPr>
        <w:t>，</w:t>
      </w:r>
      <w:r>
        <w:rPr>
          <w:rFonts w:hint="eastAsia" w:ascii="仿宋_GB2312" w:hAnsi="仿宋_GB2312" w:eastAsia="仿宋_GB2312" w:cs="仿宋_GB2312"/>
          <w:kern w:val="0"/>
          <w:sz w:val="32"/>
          <w:szCs w:val="32"/>
          <w:u w:val="none"/>
          <w:lang w:val="en-US" w:eastAsia="zh-CN"/>
        </w:rPr>
        <w:t>环卫保洁服务完成质量、街面干净整洁率、成本控制率等核心指标都达到预期比例，</w:t>
      </w:r>
      <w:r>
        <w:rPr>
          <w:rFonts w:hint="eastAsia" w:ascii="仿宋_GB2312" w:hAnsi="仿宋_GB2312" w:eastAsia="仿宋_GB2312" w:cs="仿宋_GB2312"/>
          <w:kern w:val="0"/>
          <w:sz w:val="32"/>
          <w:szCs w:val="32"/>
          <w:u w:val="none"/>
        </w:rPr>
        <w:t>有效</w:t>
      </w:r>
      <w:r>
        <w:rPr>
          <w:rFonts w:hint="eastAsia" w:ascii="仿宋_GB2312" w:hAnsi="仿宋_GB2312" w:eastAsia="仿宋_GB2312" w:cs="仿宋_GB2312"/>
          <w:kern w:val="0"/>
          <w:sz w:val="32"/>
          <w:szCs w:val="32"/>
          <w:u w:val="none"/>
          <w:lang w:val="en-US" w:eastAsia="zh-CN"/>
        </w:rPr>
        <w:t>提升了</w:t>
      </w:r>
      <w:r>
        <w:rPr>
          <w:rFonts w:hint="eastAsia" w:ascii="仿宋_GB2312" w:hAnsi="仿宋_GB2312" w:eastAsia="仿宋_GB2312" w:cs="仿宋_GB2312"/>
          <w:kern w:val="0"/>
          <w:sz w:val="32"/>
          <w:szCs w:val="32"/>
          <w:u w:val="none"/>
        </w:rPr>
        <w:t>市容市貌。发现的主要问题：</w:t>
      </w:r>
      <w:r>
        <w:rPr>
          <w:rFonts w:hint="eastAsia" w:ascii="仿宋_GB2312" w:hAnsi="仿宋_GB2312" w:eastAsia="仿宋_GB2312" w:cs="仿宋_GB2312"/>
          <w:kern w:val="0"/>
          <w:sz w:val="32"/>
          <w:szCs w:val="32"/>
          <w:u w:val="none"/>
          <w:lang w:val="en-US" w:eastAsia="zh-CN"/>
        </w:rPr>
        <w:t>绩效目标设立不够明确、细化和量化，资金使用效益有待进一步提高。原因：预算编制及自评</w:t>
      </w:r>
      <w:r>
        <w:rPr>
          <w:rFonts w:hint="default" w:ascii="仿宋_GB2312" w:hAnsi="仿宋_GB2312" w:eastAsia="仿宋_GB2312" w:cs="仿宋_GB2312"/>
          <w:kern w:val="0"/>
          <w:sz w:val="32"/>
          <w:szCs w:val="32"/>
          <w:u w:val="none"/>
          <w:lang w:val="en-US" w:eastAsia="zh-CN"/>
        </w:rPr>
        <w:t>经办人员相关的政策、业务</w:t>
      </w:r>
      <w:r>
        <w:rPr>
          <w:rFonts w:hint="eastAsia" w:ascii="仿宋_GB2312" w:hAnsi="仿宋_GB2312" w:eastAsia="仿宋_GB2312" w:cs="仿宋_GB2312"/>
          <w:kern w:val="0"/>
          <w:sz w:val="32"/>
          <w:szCs w:val="32"/>
          <w:u w:val="none"/>
          <w:lang w:val="en-US" w:eastAsia="zh-CN"/>
        </w:rPr>
        <w:t>专业性不强。</w:t>
      </w:r>
      <w:r>
        <w:rPr>
          <w:rFonts w:hint="eastAsia" w:ascii="仿宋_GB2312" w:hAnsi="仿宋_GB2312" w:eastAsia="仿宋_GB2312" w:cs="仿宋_GB2312"/>
          <w:kern w:val="0"/>
          <w:sz w:val="32"/>
          <w:szCs w:val="32"/>
          <w:u w:val="none"/>
        </w:rPr>
        <w:t>下一步改进措施：</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预算财务分析常态化，定期做好预算支出财务分析，做好部门整体支出预算评价工作。</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在确保项目高效运转的情况下，加强项目经费管理。</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加强单位预算编制工作，根据人员情况、业务开展需要，逐项做出预算计划，预算合理、不留缺口、不留空项。</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业务培训，提高评价水平，项目支出绩效自评工作是一项长期性工作，专业性强，工作量大，建议财政部门进一步加强开展部门领导及经办人员相关的政策、业务工作培训，组织开展部门之间、单位之间的经验交流，切实推进绩效评价工作的开展。</w:t>
      </w:r>
    </w:p>
    <w:tbl>
      <w:tblPr>
        <w:tblStyle w:val="19"/>
        <w:tblW w:w="94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82"/>
        <w:gridCol w:w="691"/>
        <w:gridCol w:w="614"/>
        <w:gridCol w:w="598"/>
        <w:gridCol w:w="896"/>
        <w:gridCol w:w="928"/>
        <w:gridCol w:w="849"/>
        <w:gridCol w:w="1023"/>
        <w:gridCol w:w="818"/>
        <w:gridCol w:w="897"/>
        <w:gridCol w:w="928"/>
        <w:gridCol w:w="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299" w:hRule="atLeast"/>
        </w:trPr>
        <w:tc>
          <w:tcPr>
            <w:tcW w:w="944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项目支出绩效自评表</w:t>
            </w:r>
            <w:r>
              <w:rPr>
                <w:rFonts w:hint="eastAsia" w:ascii="宋体" w:hAnsi="宋体" w:eastAsia="宋体" w:cs="宋体"/>
                <w:b/>
                <w:i w:val="0"/>
                <w:color w:val="000000"/>
                <w:kern w:val="0"/>
                <w:sz w:val="40"/>
                <w:szCs w:val="40"/>
                <w:u w:val="none"/>
                <w:lang w:val="en-US" w:eastAsia="zh-CN" w:bidi="ar"/>
              </w:rPr>
              <w:br w:type="textWrapping"/>
            </w:r>
            <w:r>
              <w:rPr>
                <w:rFonts w:hint="eastAsia" w:ascii="宋体" w:hAnsi="宋体" w:eastAsia="宋体" w:cs="宋体"/>
                <w:b/>
                <w:i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4" w:hRule="atLeast"/>
        </w:trPr>
        <w:tc>
          <w:tcPr>
            <w:tcW w:w="12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16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建设管理局-环卫专项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4" w:hRule="atLeast"/>
        </w:trPr>
        <w:tc>
          <w:tcPr>
            <w:tcW w:w="12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03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鄂尔多斯空港物流园区管理委员会（部门）</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25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鄂尔多斯空港物流园区管理委员会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80" w:hRule="atLeast"/>
        </w:trPr>
        <w:tc>
          <w:tcPr>
            <w:tcW w:w="127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（万元）</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8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6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4" w:hRule="atLeast"/>
        </w:trPr>
        <w:tc>
          <w:tcPr>
            <w:tcW w:w="12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370</w:t>
            </w:r>
          </w:p>
        </w:tc>
        <w:tc>
          <w:tcPr>
            <w:tcW w:w="18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370</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104.43</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28.22 </w:t>
            </w:r>
          </w:p>
        </w:tc>
        <w:tc>
          <w:tcPr>
            <w:tcW w:w="6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80" w:hRule="atLeast"/>
        </w:trPr>
        <w:tc>
          <w:tcPr>
            <w:tcW w:w="12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370</w:t>
            </w:r>
          </w:p>
        </w:tc>
        <w:tc>
          <w:tcPr>
            <w:tcW w:w="18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370</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104.43</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28.22</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4" w:hRule="atLeast"/>
        </w:trPr>
        <w:tc>
          <w:tcPr>
            <w:tcW w:w="12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8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4" w:hRule="atLeast"/>
        </w:trPr>
        <w:tc>
          <w:tcPr>
            <w:tcW w:w="12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8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4" w:hRule="atLeast"/>
        </w:trPr>
        <w:tc>
          <w:tcPr>
            <w:tcW w:w="127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388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28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3" w:hRule="atLeast"/>
        </w:trPr>
        <w:tc>
          <w:tcPr>
            <w:tcW w:w="12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88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2024年完成城市保洁，有效提高市容市貌。</w:t>
            </w:r>
          </w:p>
        </w:tc>
        <w:tc>
          <w:tcPr>
            <w:tcW w:w="428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2024年已完成城市保洁，有效提高市容市貌。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9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1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6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17" w:hRule="atLeast"/>
        </w:trPr>
        <w:tc>
          <w:tcPr>
            <w:tcW w:w="582"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69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61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5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环卫保洁按月申请次数</w:t>
            </w:r>
          </w:p>
        </w:tc>
        <w:tc>
          <w:tcPr>
            <w:tcW w:w="8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0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12.00</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8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6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80"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环卫保洁按月完工量</w:t>
            </w:r>
          </w:p>
        </w:tc>
        <w:tc>
          <w:tcPr>
            <w:tcW w:w="8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0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30.00</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6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17"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5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环卫保洁服务完成质量</w:t>
            </w:r>
          </w:p>
        </w:tc>
        <w:tc>
          <w:tcPr>
            <w:tcW w:w="8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10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6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299"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街面干净整洁率</w:t>
            </w:r>
          </w:p>
        </w:tc>
        <w:tc>
          <w:tcPr>
            <w:tcW w:w="8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10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6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17"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5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保洁工作完成及时率</w:t>
            </w:r>
          </w:p>
        </w:tc>
        <w:tc>
          <w:tcPr>
            <w:tcW w:w="8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10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80"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保洁完成时间</w:t>
            </w:r>
          </w:p>
        </w:tc>
        <w:tc>
          <w:tcPr>
            <w:tcW w:w="8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2024年12月</w:t>
            </w:r>
          </w:p>
        </w:tc>
        <w:tc>
          <w:tcPr>
            <w:tcW w:w="10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2024年12月</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80"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5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环卫保洁成本</w:t>
            </w:r>
          </w:p>
        </w:tc>
        <w:tc>
          <w:tcPr>
            <w:tcW w:w="8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370</w:t>
            </w:r>
          </w:p>
        </w:tc>
        <w:tc>
          <w:tcPr>
            <w:tcW w:w="10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239.65</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6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80"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成本控制率</w:t>
            </w:r>
          </w:p>
        </w:tc>
        <w:tc>
          <w:tcPr>
            <w:tcW w:w="8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10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80"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6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5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改善市容市貌</w:t>
            </w:r>
          </w:p>
        </w:tc>
        <w:tc>
          <w:tcPr>
            <w:tcW w:w="8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效果显著</w:t>
            </w:r>
          </w:p>
        </w:tc>
        <w:tc>
          <w:tcPr>
            <w:tcW w:w="10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效果显著</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99"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5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改善居民生活环境</w:t>
            </w:r>
          </w:p>
        </w:tc>
        <w:tc>
          <w:tcPr>
            <w:tcW w:w="8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效果显著</w:t>
            </w:r>
          </w:p>
        </w:tc>
        <w:tc>
          <w:tcPr>
            <w:tcW w:w="10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效果显著</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299"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6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5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受益群众满意度</w:t>
            </w:r>
          </w:p>
        </w:tc>
        <w:tc>
          <w:tcPr>
            <w:tcW w:w="8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10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98.00</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11" w:hRule="atLeast"/>
        </w:trPr>
        <w:tc>
          <w:tcPr>
            <w:tcW w:w="6999"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91.82</w:t>
            </w:r>
          </w:p>
        </w:tc>
        <w:tc>
          <w:tcPr>
            <w:tcW w:w="6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widowControl/>
        <w:spacing w:before="240" w:after="240"/>
        <w:ind w:firstLine="640" w:firstLineChars="200"/>
        <w:rPr>
          <w:rFonts w:ascii="fang_song_gb2312" w:hAnsi="fang_song_gb2312" w:eastAsia="fang_song_gb2312" w:cs="fang_song_gb2312"/>
          <w:kern w:val="0"/>
          <w:sz w:val="27"/>
          <w:szCs w:val="27"/>
          <w:u w:val="none"/>
        </w:rPr>
      </w:pP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rPr>
        <w:t>.建设管理局空港园区氢能产业园区空间布局规划项目自评综述：根据年初设定的绩效目标，项目自评得分</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分。全年预算数为</w:t>
      </w:r>
      <w:r>
        <w:rPr>
          <w:rFonts w:hint="eastAsia" w:ascii="仿宋_GB2312" w:hAnsi="仿宋_GB2312" w:eastAsia="仿宋_GB2312" w:cs="仿宋_GB2312"/>
          <w:kern w:val="0"/>
          <w:sz w:val="32"/>
          <w:szCs w:val="32"/>
          <w:u w:val="none"/>
          <w:lang w:val="en-US" w:eastAsia="zh-CN"/>
        </w:rPr>
        <w:t>47</w:t>
      </w:r>
      <w:r>
        <w:rPr>
          <w:rFonts w:hint="eastAsia" w:ascii="仿宋_GB2312" w:hAnsi="仿宋_GB2312" w:eastAsia="仿宋_GB2312" w:cs="仿宋_GB2312"/>
          <w:kern w:val="0"/>
          <w:sz w:val="32"/>
          <w:szCs w:val="32"/>
          <w:u w:val="none"/>
        </w:rPr>
        <w:t>万元，执行数为</w:t>
      </w:r>
      <w:r>
        <w:rPr>
          <w:rFonts w:hint="eastAsia" w:ascii="仿宋_GB2312" w:hAnsi="仿宋_GB2312" w:eastAsia="仿宋_GB2312" w:cs="仿宋_GB2312"/>
          <w:kern w:val="0"/>
          <w:sz w:val="32"/>
          <w:szCs w:val="32"/>
          <w:u w:val="none"/>
          <w:lang w:val="en-US" w:eastAsia="zh-CN"/>
        </w:rPr>
        <w:t>47</w:t>
      </w:r>
      <w:r>
        <w:rPr>
          <w:rFonts w:hint="eastAsia" w:ascii="仿宋_GB2312" w:hAnsi="仿宋_GB2312" w:eastAsia="仿宋_GB2312" w:cs="仿宋_GB2312"/>
          <w:kern w:val="0"/>
          <w:sz w:val="32"/>
          <w:szCs w:val="32"/>
          <w:u w:val="none"/>
        </w:rPr>
        <w:t>万元，完成预算的</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%。项目绩效目标完成情况：按照年初预算安排计划，编制</w:t>
      </w:r>
      <w:r>
        <w:rPr>
          <w:rFonts w:hint="eastAsia" w:ascii="仿宋_GB2312" w:hAnsi="仿宋_GB2312" w:eastAsia="仿宋_GB2312" w:cs="仿宋_GB2312"/>
          <w:kern w:val="0"/>
          <w:sz w:val="32"/>
          <w:szCs w:val="32"/>
          <w:u w:val="none"/>
          <w:lang w:val="en-US" w:eastAsia="zh-CN"/>
        </w:rPr>
        <w:t>了</w:t>
      </w:r>
      <w:r>
        <w:rPr>
          <w:rFonts w:hint="eastAsia" w:ascii="仿宋_GB2312" w:hAnsi="仿宋_GB2312" w:eastAsia="仿宋_GB2312" w:cs="仿宋_GB2312"/>
          <w:kern w:val="0"/>
          <w:sz w:val="32"/>
          <w:szCs w:val="32"/>
          <w:u w:val="none"/>
        </w:rPr>
        <w:t>零碳氢能产业示范园产业空间布局规划方案，编制</w:t>
      </w:r>
      <w:r>
        <w:rPr>
          <w:rFonts w:hint="eastAsia" w:ascii="仿宋_GB2312" w:hAnsi="仿宋_GB2312" w:eastAsia="仿宋_GB2312" w:cs="仿宋_GB2312"/>
          <w:kern w:val="0"/>
          <w:sz w:val="32"/>
          <w:szCs w:val="32"/>
          <w:u w:val="none"/>
          <w:lang w:val="en-US" w:eastAsia="zh-CN"/>
        </w:rPr>
        <w:t>了</w:t>
      </w:r>
      <w:r>
        <w:rPr>
          <w:rFonts w:hint="eastAsia" w:ascii="仿宋_GB2312" w:hAnsi="仿宋_GB2312" w:eastAsia="仿宋_GB2312" w:cs="仿宋_GB2312"/>
          <w:kern w:val="0"/>
          <w:sz w:val="32"/>
          <w:szCs w:val="32"/>
          <w:u w:val="none"/>
        </w:rPr>
        <w:t>空港物流园区02-02地块控制性详细规划修改必要性研究报告及修改方案</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规划编制完成率、规划调整及时率、成本控制率等核心指标都达到预期比例，</w:t>
      </w:r>
      <w:r>
        <w:rPr>
          <w:rFonts w:hint="eastAsia" w:ascii="仿宋_GB2312" w:hAnsi="仿宋_GB2312" w:eastAsia="仿宋_GB2312" w:cs="仿宋_GB2312"/>
          <w:kern w:val="0"/>
          <w:sz w:val="32"/>
          <w:szCs w:val="32"/>
          <w:u w:val="none"/>
        </w:rPr>
        <w:t>促进</w:t>
      </w:r>
      <w:r>
        <w:rPr>
          <w:rFonts w:hint="eastAsia" w:ascii="仿宋_GB2312" w:hAnsi="仿宋_GB2312" w:eastAsia="仿宋_GB2312" w:cs="仿宋_GB2312"/>
          <w:kern w:val="0"/>
          <w:sz w:val="32"/>
          <w:szCs w:val="32"/>
          <w:u w:val="none"/>
          <w:lang w:val="en-US" w:eastAsia="zh-CN"/>
        </w:rPr>
        <w:t>了</w:t>
      </w:r>
      <w:r>
        <w:rPr>
          <w:rFonts w:hint="eastAsia" w:ascii="仿宋_GB2312" w:hAnsi="仿宋_GB2312" w:eastAsia="仿宋_GB2312" w:cs="仿宋_GB2312"/>
          <w:kern w:val="0"/>
          <w:sz w:val="32"/>
          <w:szCs w:val="32"/>
          <w:u w:val="none"/>
        </w:rPr>
        <w:t>园区产业规划发展。发现的主要问题：</w:t>
      </w:r>
      <w:r>
        <w:rPr>
          <w:rFonts w:hint="eastAsia" w:ascii="仿宋_GB2312" w:hAnsi="仿宋_GB2312" w:eastAsia="仿宋_GB2312" w:cs="仿宋_GB2312"/>
          <w:kern w:val="0"/>
          <w:sz w:val="32"/>
          <w:szCs w:val="32"/>
          <w:u w:val="none"/>
          <w:lang w:val="en-US" w:eastAsia="zh-CN"/>
        </w:rPr>
        <w:t>绩效目标设立不够明确、细化和量化，资金使用效益有待进一步提高。原因：预算编制及自评</w:t>
      </w:r>
      <w:r>
        <w:rPr>
          <w:rFonts w:hint="default" w:ascii="仿宋_GB2312" w:hAnsi="仿宋_GB2312" w:eastAsia="仿宋_GB2312" w:cs="仿宋_GB2312"/>
          <w:kern w:val="0"/>
          <w:sz w:val="32"/>
          <w:szCs w:val="32"/>
          <w:u w:val="none"/>
          <w:lang w:val="en-US" w:eastAsia="zh-CN"/>
        </w:rPr>
        <w:t>经办人员相关的政策、业务</w:t>
      </w:r>
      <w:r>
        <w:rPr>
          <w:rFonts w:hint="eastAsia" w:ascii="仿宋_GB2312" w:hAnsi="仿宋_GB2312" w:eastAsia="仿宋_GB2312" w:cs="仿宋_GB2312"/>
          <w:kern w:val="0"/>
          <w:sz w:val="32"/>
          <w:szCs w:val="32"/>
          <w:u w:val="none"/>
          <w:lang w:val="en-US" w:eastAsia="zh-CN"/>
        </w:rPr>
        <w:t>专业性不强。</w:t>
      </w:r>
      <w:r>
        <w:rPr>
          <w:rFonts w:hint="eastAsia" w:ascii="仿宋_GB2312" w:hAnsi="仿宋_GB2312" w:eastAsia="仿宋_GB2312" w:cs="仿宋_GB2312"/>
          <w:kern w:val="0"/>
          <w:sz w:val="32"/>
          <w:szCs w:val="32"/>
          <w:u w:val="none"/>
        </w:rPr>
        <w:t>下一步改进措施：</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预算财务分析常态化，定期做好预算支出财务分析，做好部门整体支出预算评价工作。</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在确保项目高效运转的情况下，加强项目经费管理。</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加强单位预算编制工作，根据人员情况、业务开展需要，逐项做出预算计划，预算合理、不留缺口、不留空项。</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业务培训，提高评价水平，项目支出绩效自评工作是一项长期性工作，专业性强，工作量大，建议财政部门进一步加强开展部门领导及经办人员相关的政策、业务工作培训，组织开展部门之间、单位之间的经验交流，切实推进绩效评价工作的开展。</w:t>
      </w:r>
    </w:p>
    <w:tbl>
      <w:tblPr>
        <w:tblStyle w:val="19"/>
        <w:tblW w:w="96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4"/>
        <w:gridCol w:w="586"/>
        <w:gridCol w:w="851"/>
        <w:gridCol w:w="1"/>
        <w:gridCol w:w="779"/>
        <w:gridCol w:w="1"/>
        <w:gridCol w:w="566"/>
        <w:gridCol w:w="709"/>
        <w:gridCol w:w="1"/>
        <w:gridCol w:w="885"/>
        <w:gridCol w:w="1027"/>
        <w:gridCol w:w="1"/>
        <w:gridCol w:w="1062"/>
        <w:gridCol w:w="1"/>
        <w:gridCol w:w="832"/>
        <w:gridCol w:w="852"/>
        <w:gridCol w:w="1"/>
        <w:gridCol w:w="7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505" w:hRule="atLeast"/>
        </w:trPr>
        <w:tc>
          <w:tcPr>
            <w:tcW w:w="9640" w:type="dxa"/>
            <w:gridSpan w:val="1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项目支出绩效自评表</w:t>
            </w:r>
            <w:r>
              <w:rPr>
                <w:rFonts w:hint="eastAsia" w:ascii="宋体" w:hAnsi="宋体" w:eastAsia="宋体" w:cs="宋体"/>
                <w:b/>
                <w:i w:val="0"/>
                <w:color w:val="000000"/>
                <w:kern w:val="0"/>
                <w:sz w:val="40"/>
                <w:szCs w:val="40"/>
                <w:u w:val="none"/>
                <w:lang w:val="en-US" w:eastAsia="zh-CN" w:bidi="ar"/>
              </w:rPr>
              <w:br w:type="textWrapping"/>
            </w:r>
            <w:r>
              <w:rPr>
                <w:rFonts w:hint="eastAsia" w:ascii="宋体" w:hAnsi="宋体" w:eastAsia="宋体" w:cs="宋体"/>
                <w:b/>
                <w:i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84" w:hRule="atLeast"/>
        </w:trPr>
        <w:tc>
          <w:tcPr>
            <w:tcW w:w="13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330" w:type="dxa"/>
            <w:gridSpan w:val="1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建设管理局---空港园区氢能产业园区空间布局规划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67" w:hRule="atLeast"/>
        </w:trPr>
        <w:tc>
          <w:tcPr>
            <w:tcW w:w="13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290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鄂尔多斯空港物流园区管理委员会（部门）</w:t>
            </w:r>
          </w:p>
        </w:tc>
        <w:tc>
          <w:tcPr>
            <w:tcW w:w="191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50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鄂尔多斯空港物流园区管理委员会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67" w:hRule="atLeast"/>
        </w:trPr>
        <w:tc>
          <w:tcPr>
            <w:tcW w:w="13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（万元）</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2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91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10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68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7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67" w:hRule="atLeast"/>
        </w:trPr>
        <w:tc>
          <w:tcPr>
            <w:tcW w:w="13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12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191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10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68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67" w:hRule="atLeast"/>
        </w:trPr>
        <w:tc>
          <w:tcPr>
            <w:tcW w:w="13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12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191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106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8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67" w:hRule="atLeast"/>
        </w:trPr>
        <w:tc>
          <w:tcPr>
            <w:tcW w:w="13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2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91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6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8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97" w:hRule="atLeast"/>
        </w:trPr>
        <w:tc>
          <w:tcPr>
            <w:tcW w:w="13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2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91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6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8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8" w:hRule="atLeast"/>
        </w:trPr>
        <w:tc>
          <w:tcPr>
            <w:tcW w:w="13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379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537"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505" w:hRule="atLeast"/>
        </w:trPr>
        <w:tc>
          <w:tcPr>
            <w:tcW w:w="13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79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2024年完成编制零碳氢能产业示范园产业空间布局规划方案,编制空港物流园区02-02地块控制性详细规划修改必要性研究报告及修改方案。</w:t>
            </w:r>
          </w:p>
        </w:tc>
        <w:tc>
          <w:tcPr>
            <w:tcW w:w="4537"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2024年已完成编制零碳氢能产业示范园产业空间布局规划方案,编制空港物流园区02-02地块控制性详细规划修改必要性研究报告及修改方案。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505"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8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7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1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10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7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000" w:hRule="atLeast"/>
        </w:trPr>
        <w:tc>
          <w:tcPr>
            <w:tcW w:w="72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58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52"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7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规划编制次数</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6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83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000" w:hRule="atLeast"/>
        </w:trPr>
        <w:tc>
          <w:tcPr>
            <w:tcW w:w="72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规划调整次数</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71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6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83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6" w:hRule="atLeast"/>
        </w:trPr>
        <w:tc>
          <w:tcPr>
            <w:tcW w:w="72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7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规划编制完成率</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06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3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6" w:hRule="atLeast"/>
        </w:trPr>
        <w:tc>
          <w:tcPr>
            <w:tcW w:w="72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规划调整完成率</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06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3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6" w:hRule="atLeast"/>
        </w:trPr>
        <w:tc>
          <w:tcPr>
            <w:tcW w:w="72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7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规划调整及时率</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06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3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6" w:hRule="atLeast"/>
        </w:trPr>
        <w:tc>
          <w:tcPr>
            <w:tcW w:w="72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规划编制及时率</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06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3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000" w:hRule="atLeast"/>
        </w:trPr>
        <w:tc>
          <w:tcPr>
            <w:tcW w:w="72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7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规划编制费用</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71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10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47.00</w:t>
            </w:r>
          </w:p>
        </w:tc>
        <w:tc>
          <w:tcPr>
            <w:tcW w:w="106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3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6" w:hRule="atLeast"/>
        </w:trPr>
        <w:tc>
          <w:tcPr>
            <w:tcW w:w="72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规划成本控制率</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10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106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3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6" w:hRule="atLeast"/>
        </w:trPr>
        <w:tc>
          <w:tcPr>
            <w:tcW w:w="72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8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5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7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提高土地出让收入</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1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显著提升</w:t>
            </w:r>
          </w:p>
        </w:tc>
        <w:tc>
          <w:tcPr>
            <w:tcW w:w="10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显著提升</w:t>
            </w:r>
          </w:p>
        </w:tc>
        <w:tc>
          <w:tcPr>
            <w:tcW w:w="106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6" w:hRule="atLeast"/>
        </w:trPr>
        <w:tc>
          <w:tcPr>
            <w:tcW w:w="72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7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提高土地集约利用率</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1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显著提升</w:t>
            </w:r>
          </w:p>
        </w:tc>
        <w:tc>
          <w:tcPr>
            <w:tcW w:w="10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显著提升</w:t>
            </w:r>
          </w:p>
        </w:tc>
        <w:tc>
          <w:tcPr>
            <w:tcW w:w="106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6" w:hRule="atLeast"/>
        </w:trPr>
        <w:tc>
          <w:tcPr>
            <w:tcW w:w="72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7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提高生态可持续发展</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1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显著提升</w:t>
            </w:r>
          </w:p>
        </w:tc>
        <w:tc>
          <w:tcPr>
            <w:tcW w:w="10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显著提升</w:t>
            </w:r>
          </w:p>
        </w:tc>
        <w:tc>
          <w:tcPr>
            <w:tcW w:w="106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505" w:hRule="atLeast"/>
        </w:trPr>
        <w:tc>
          <w:tcPr>
            <w:tcW w:w="72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7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促进园区产业规划发展</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1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显著提升</w:t>
            </w:r>
          </w:p>
        </w:tc>
        <w:tc>
          <w:tcPr>
            <w:tcW w:w="10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显著提升</w:t>
            </w:r>
          </w:p>
        </w:tc>
        <w:tc>
          <w:tcPr>
            <w:tcW w:w="106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6" w:hRule="atLeast"/>
        </w:trPr>
        <w:tc>
          <w:tcPr>
            <w:tcW w:w="72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8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85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7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入园企业满意度</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10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106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3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024" w:hRule="atLeast"/>
        </w:trPr>
        <w:tc>
          <w:tcPr>
            <w:tcW w:w="7193"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7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.2024年综保区产业发展及自贸区申建经费项目自评综述：根据年初设定的绩效目标，项目自评得分</w:t>
      </w:r>
      <w:r>
        <w:rPr>
          <w:rFonts w:hint="eastAsia" w:ascii="仿宋_GB2312" w:hAnsi="仿宋_GB2312" w:eastAsia="仿宋_GB2312" w:cs="仿宋_GB2312"/>
          <w:kern w:val="0"/>
          <w:sz w:val="32"/>
          <w:szCs w:val="32"/>
          <w:u w:val="none"/>
          <w:lang w:val="en-US" w:eastAsia="zh-CN"/>
        </w:rPr>
        <w:t>97.86</w:t>
      </w:r>
      <w:r>
        <w:rPr>
          <w:rFonts w:hint="eastAsia" w:ascii="仿宋_GB2312" w:hAnsi="仿宋_GB2312" w:eastAsia="仿宋_GB2312" w:cs="仿宋_GB2312"/>
          <w:kern w:val="0"/>
          <w:sz w:val="32"/>
          <w:szCs w:val="32"/>
          <w:u w:val="none"/>
        </w:rPr>
        <w:t>分。全年预算数为</w:t>
      </w:r>
      <w:r>
        <w:rPr>
          <w:rFonts w:hint="eastAsia" w:ascii="仿宋_GB2312" w:hAnsi="仿宋_GB2312" w:eastAsia="仿宋_GB2312" w:cs="仿宋_GB2312"/>
          <w:kern w:val="0"/>
          <w:sz w:val="32"/>
          <w:szCs w:val="32"/>
          <w:u w:val="none"/>
          <w:lang w:val="en-US" w:eastAsia="zh-CN"/>
        </w:rPr>
        <w:t>2000</w:t>
      </w:r>
      <w:r>
        <w:rPr>
          <w:rFonts w:hint="eastAsia" w:ascii="仿宋_GB2312" w:hAnsi="仿宋_GB2312" w:eastAsia="仿宋_GB2312" w:cs="仿宋_GB2312"/>
          <w:kern w:val="0"/>
          <w:sz w:val="32"/>
          <w:szCs w:val="32"/>
          <w:u w:val="none"/>
        </w:rPr>
        <w:t>万元，执行数为</w:t>
      </w:r>
      <w:r>
        <w:rPr>
          <w:rFonts w:hint="eastAsia" w:ascii="仿宋_GB2312" w:hAnsi="仿宋_GB2312" w:eastAsia="仿宋_GB2312" w:cs="仿宋_GB2312"/>
          <w:kern w:val="0"/>
          <w:sz w:val="32"/>
          <w:szCs w:val="32"/>
          <w:u w:val="none"/>
          <w:lang w:val="en-US" w:eastAsia="zh-CN"/>
        </w:rPr>
        <w:t>1971.71</w:t>
      </w:r>
      <w:r>
        <w:rPr>
          <w:rFonts w:hint="eastAsia" w:ascii="仿宋_GB2312" w:hAnsi="仿宋_GB2312" w:eastAsia="仿宋_GB2312" w:cs="仿宋_GB2312"/>
          <w:kern w:val="0"/>
          <w:sz w:val="32"/>
          <w:szCs w:val="32"/>
          <w:u w:val="none"/>
        </w:rPr>
        <w:t>万元，完成预算的</w:t>
      </w:r>
      <w:r>
        <w:rPr>
          <w:rFonts w:hint="eastAsia" w:ascii="仿宋_GB2312" w:hAnsi="仿宋_GB2312" w:eastAsia="仿宋_GB2312" w:cs="仿宋_GB2312"/>
          <w:kern w:val="0"/>
          <w:sz w:val="32"/>
          <w:szCs w:val="32"/>
          <w:u w:val="none"/>
          <w:lang w:val="en-US" w:eastAsia="zh-CN"/>
        </w:rPr>
        <w:t>98.59</w:t>
      </w:r>
      <w:r>
        <w:rPr>
          <w:rFonts w:hint="eastAsia" w:ascii="仿宋_GB2312" w:hAnsi="仿宋_GB2312" w:eastAsia="仿宋_GB2312" w:cs="仿宋_GB2312"/>
          <w:kern w:val="0"/>
          <w:sz w:val="32"/>
          <w:szCs w:val="32"/>
          <w:u w:val="none"/>
        </w:rPr>
        <w:t>%。项目绩效目标完成情况：按照年初预算安排计划，2024年支出政策补贴资金</w:t>
      </w:r>
      <w:r>
        <w:rPr>
          <w:rFonts w:hint="eastAsia" w:ascii="仿宋_GB2312" w:hAnsi="仿宋_GB2312" w:eastAsia="仿宋_GB2312" w:cs="仿宋_GB2312"/>
          <w:kern w:val="0"/>
          <w:sz w:val="32"/>
          <w:szCs w:val="32"/>
          <w:u w:val="none"/>
          <w:lang w:val="en-US" w:eastAsia="zh-CN"/>
        </w:rPr>
        <w:t>1971.71</w:t>
      </w:r>
      <w:r>
        <w:rPr>
          <w:rFonts w:hint="eastAsia" w:ascii="仿宋_GB2312" w:hAnsi="仿宋_GB2312" w:eastAsia="仿宋_GB2312" w:cs="仿宋_GB2312"/>
          <w:kern w:val="0"/>
          <w:sz w:val="32"/>
          <w:szCs w:val="32"/>
          <w:u w:val="none"/>
        </w:rPr>
        <w:t>万元，用于招商引资、产业培育、扶持入园企业发展等工作</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综保区产业发展资金专款专用率、政策补贴资金兑付及时率、项目资金合理利用率等核心指标都达到预期比例，</w:t>
      </w:r>
      <w:r>
        <w:rPr>
          <w:rFonts w:hint="eastAsia" w:ascii="仿宋_GB2312" w:hAnsi="仿宋_GB2312" w:eastAsia="仿宋_GB2312" w:cs="仿宋_GB2312"/>
          <w:kern w:val="0"/>
          <w:sz w:val="32"/>
          <w:szCs w:val="32"/>
          <w:u w:val="none"/>
        </w:rPr>
        <w:t>促进</w:t>
      </w:r>
      <w:r>
        <w:rPr>
          <w:rFonts w:hint="eastAsia" w:ascii="仿宋_GB2312" w:hAnsi="仿宋_GB2312" w:eastAsia="仿宋_GB2312" w:cs="仿宋_GB2312"/>
          <w:kern w:val="0"/>
          <w:sz w:val="32"/>
          <w:szCs w:val="32"/>
          <w:u w:val="none"/>
          <w:lang w:val="en-US" w:eastAsia="zh-CN"/>
        </w:rPr>
        <w:t>了</w:t>
      </w:r>
      <w:r>
        <w:rPr>
          <w:rFonts w:hint="eastAsia" w:ascii="仿宋_GB2312" w:hAnsi="仿宋_GB2312" w:eastAsia="仿宋_GB2312" w:cs="仿宋_GB2312"/>
          <w:kern w:val="0"/>
          <w:sz w:val="32"/>
          <w:szCs w:val="32"/>
          <w:u w:val="none"/>
        </w:rPr>
        <w:t>鄂尔多斯综合保税区高质量发展。发现的主要问题：</w:t>
      </w:r>
      <w:r>
        <w:rPr>
          <w:rFonts w:hint="eastAsia" w:ascii="仿宋_GB2312" w:hAnsi="仿宋_GB2312" w:eastAsia="仿宋_GB2312" w:cs="仿宋_GB2312"/>
          <w:kern w:val="0"/>
          <w:sz w:val="32"/>
          <w:szCs w:val="32"/>
          <w:u w:val="none"/>
          <w:lang w:val="en-US" w:eastAsia="zh-CN"/>
        </w:rPr>
        <w:t>绩效目标设立不够明确、细化和量化，资金使用效益有待进一步提高。原因：预算编制及自评</w:t>
      </w:r>
      <w:r>
        <w:rPr>
          <w:rFonts w:hint="default" w:ascii="仿宋_GB2312" w:hAnsi="仿宋_GB2312" w:eastAsia="仿宋_GB2312" w:cs="仿宋_GB2312"/>
          <w:kern w:val="0"/>
          <w:sz w:val="32"/>
          <w:szCs w:val="32"/>
          <w:u w:val="none"/>
          <w:lang w:val="en-US" w:eastAsia="zh-CN"/>
        </w:rPr>
        <w:t>经办人员相关的政策、业务</w:t>
      </w:r>
      <w:r>
        <w:rPr>
          <w:rFonts w:hint="eastAsia" w:ascii="仿宋_GB2312" w:hAnsi="仿宋_GB2312" w:eastAsia="仿宋_GB2312" w:cs="仿宋_GB2312"/>
          <w:kern w:val="0"/>
          <w:sz w:val="32"/>
          <w:szCs w:val="32"/>
          <w:u w:val="none"/>
          <w:lang w:val="en-US" w:eastAsia="zh-CN"/>
        </w:rPr>
        <w:t>专业性不强。</w:t>
      </w:r>
      <w:r>
        <w:rPr>
          <w:rFonts w:hint="eastAsia" w:ascii="仿宋_GB2312" w:hAnsi="仿宋_GB2312" w:eastAsia="仿宋_GB2312" w:cs="仿宋_GB2312"/>
          <w:kern w:val="0"/>
          <w:sz w:val="32"/>
          <w:szCs w:val="32"/>
          <w:u w:val="none"/>
        </w:rPr>
        <w:t>下一步改进措施：</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预算财务分析常态化，定期做好预算支出财务分析，做好部门整体支出预算评价工作。</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在确保项目高效运转的情况下，加强项目经费管理。</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加强单位预算编制工作，根据人员情况、业务开展需要，逐项做出预算计划，预算合理、不留缺口、不留空项。</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业务培训，提高评价水平，项目支出绩效自评工作是一项长期性工作，专业性强，工作量大，建议财政部门进一步加强开展部门领导及经办人员相关的政策、业务工作培训，组织开展部门之间、单位之间的经验交流，切实推进绩效评价工作的开展。</w:t>
      </w:r>
    </w:p>
    <w:tbl>
      <w:tblPr>
        <w:tblStyle w:val="19"/>
        <w:tblW w:w="96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98"/>
        <w:gridCol w:w="647"/>
        <w:gridCol w:w="750"/>
        <w:gridCol w:w="1"/>
        <w:gridCol w:w="988"/>
        <w:gridCol w:w="1"/>
        <w:gridCol w:w="635"/>
        <w:gridCol w:w="863"/>
        <w:gridCol w:w="1"/>
        <w:gridCol w:w="1131"/>
        <w:gridCol w:w="1130"/>
        <w:gridCol w:w="1"/>
        <w:gridCol w:w="636"/>
        <w:gridCol w:w="1"/>
        <w:gridCol w:w="718"/>
        <w:gridCol w:w="657"/>
        <w:gridCol w:w="8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50" w:hRule="atLeast"/>
        </w:trPr>
        <w:tc>
          <w:tcPr>
            <w:tcW w:w="9600" w:type="dxa"/>
            <w:gridSpan w:val="1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项目支出绩效自评表</w:t>
            </w:r>
            <w:r>
              <w:rPr>
                <w:rFonts w:hint="eastAsia" w:ascii="宋体" w:hAnsi="宋体" w:eastAsia="宋体" w:cs="宋体"/>
                <w:b/>
                <w:i w:val="0"/>
                <w:color w:val="000000"/>
                <w:kern w:val="0"/>
                <w:sz w:val="40"/>
                <w:szCs w:val="40"/>
                <w:u w:val="none"/>
                <w:lang w:val="en-US" w:eastAsia="zh-CN" w:bidi="ar"/>
              </w:rPr>
              <w:br w:type="textWrapping"/>
            </w:r>
            <w:r>
              <w:rPr>
                <w:rFonts w:hint="eastAsia" w:ascii="宋体" w:hAnsi="宋体" w:eastAsia="宋体" w:cs="宋体"/>
                <w:b/>
                <w:i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3" w:hRule="atLeast"/>
        </w:trPr>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项目名称</w:t>
            </w:r>
          </w:p>
        </w:tc>
        <w:tc>
          <w:tcPr>
            <w:tcW w:w="8355" w:type="dxa"/>
            <w:gridSpan w:val="1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2024年综保区产业发展及自贸区申建经费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72" w:hRule="atLeast"/>
        </w:trPr>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主管部门</w:t>
            </w:r>
          </w:p>
        </w:tc>
        <w:tc>
          <w:tcPr>
            <w:tcW w:w="323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鄂尔多斯空港物流园区管理委员会（部门）</w:t>
            </w:r>
          </w:p>
        </w:tc>
        <w:tc>
          <w:tcPr>
            <w:tcW w:w="226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实施单位</w:t>
            </w:r>
          </w:p>
        </w:tc>
        <w:tc>
          <w:tcPr>
            <w:tcW w:w="285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鄂尔多斯空港物流园区管理委员会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56" w:hRule="atLeast"/>
        </w:trPr>
        <w:tc>
          <w:tcPr>
            <w:tcW w:w="12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项目资金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（万元）</w:t>
            </w:r>
          </w:p>
        </w:tc>
        <w:tc>
          <w:tcPr>
            <w:tcW w:w="7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年初预算数</w:t>
            </w:r>
          </w:p>
        </w:tc>
        <w:tc>
          <w:tcPr>
            <w:tcW w:w="14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全年预算数</w:t>
            </w:r>
          </w:p>
        </w:tc>
        <w:tc>
          <w:tcPr>
            <w:tcW w:w="226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全年执行数</w:t>
            </w:r>
          </w:p>
        </w:tc>
        <w:tc>
          <w:tcPr>
            <w:tcW w:w="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分值</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执行率（%）</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12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年度资金总额</w:t>
            </w: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2000</w:t>
            </w:r>
          </w:p>
        </w:tc>
        <w:tc>
          <w:tcPr>
            <w:tcW w:w="14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2000</w:t>
            </w:r>
          </w:p>
        </w:tc>
        <w:tc>
          <w:tcPr>
            <w:tcW w:w="226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1971.71</w:t>
            </w:r>
          </w:p>
        </w:tc>
        <w:tc>
          <w:tcPr>
            <w:tcW w:w="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98.59</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89" w:hRule="atLeast"/>
        </w:trPr>
        <w:tc>
          <w:tcPr>
            <w:tcW w:w="12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其中：财政拨款</w:t>
            </w: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2000</w:t>
            </w:r>
          </w:p>
        </w:tc>
        <w:tc>
          <w:tcPr>
            <w:tcW w:w="14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2000</w:t>
            </w:r>
          </w:p>
        </w:tc>
        <w:tc>
          <w:tcPr>
            <w:tcW w:w="226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1971.71</w:t>
            </w:r>
          </w:p>
        </w:tc>
        <w:tc>
          <w:tcPr>
            <w:tcW w:w="6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98.59</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36" w:hRule="atLeast"/>
        </w:trPr>
        <w:tc>
          <w:tcPr>
            <w:tcW w:w="12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上年结转资金</w:t>
            </w: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w:t>
            </w:r>
          </w:p>
        </w:tc>
        <w:tc>
          <w:tcPr>
            <w:tcW w:w="14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w:t>
            </w:r>
          </w:p>
        </w:tc>
        <w:tc>
          <w:tcPr>
            <w:tcW w:w="226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w:t>
            </w:r>
          </w:p>
        </w:tc>
        <w:tc>
          <w:tcPr>
            <w:tcW w:w="6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7" w:hRule="atLeast"/>
        </w:trPr>
        <w:tc>
          <w:tcPr>
            <w:tcW w:w="12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其他资金</w:t>
            </w: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w:t>
            </w:r>
          </w:p>
        </w:tc>
        <w:tc>
          <w:tcPr>
            <w:tcW w:w="14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w:t>
            </w:r>
          </w:p>
        </w:tc>
        <w:tc>
          <w:tcPr>
            <w:tcW w:w="226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w:t>
            </w:r>
          </w:p>
        </w:tc>
        <w:tc>
          <w:tcPr>
            <w:tcW w:w="6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3" w:hRule="atLeast"/>
        </w:trPr>
        <w:tc>
          <w:tcPr>
            <w:tcW w:w="12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年度总体目标</w:t>
            </w:r>
          </w:p>
        </w:tc>
        <w:tc>
          <w:tcPr>
            <w:tcW w:w="4370"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预期目标</w:t>
            </w:r>
          </w:p>
        </w:tc>
        <w:tc>
          <w:tcPr>
            <w:tcW w:w="398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81" w:hRule="atLeast"/>
        </w:trPr>
        <w:tc>
          <w:tcPr>
            <w:tcW w:w="12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370"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2024年计划支出政策补贴资金2000万元，用于招商引资、产业培育、扶持入园企业发展等工作，助力鄂尔多斯综合保税区高质量发展。</w:t>
            </w:r>
          </w:p>
        </w:tc>
        <w:tc>
          <w:tcPr>
            <w:tcW w:w="398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按照年初计划用于综保区基础设施建设、保税产业和招商引资宣传培训等。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78" w:hRule="atLeast"/>
        </w:trPr>
        <w:tc>
          <w:tcPr>
            <w:tcW w:w="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绩效指标</w:t>
            </w:r>
          </w:p>
        </w:tc>
        <w:tc>
          <w:tcPr>
            <w:tcW w:w="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一级指标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二级指标</w:t>
            </w: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三级指标</w:t>
            </w:r>
          </w:p>
        </w:tc>
        <w:tc>
          <w:tcPr>
            <w:tcW w:w="6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指标性质</w:t>
            </w: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指标方向</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年度指标值</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实际完成值</w:t>
            </w:r>
          </w:p>
        </w:tc>
        <w:tc>
          <w:tcPr>
            <w:tcW w:w="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计量单位</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分值</w:t>
            </w:r>
          </w:p>
        </w:tc>
        <w:tc>
          <w:tcPr>
            <w:tcW w:w="6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得分</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24" w:hRule="atLeast"/>
        </w:trPr>
        <w:tc>
          <w:tcPr>
            <w:tcW w:w="59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绩效指标</w:t>
            </w:r>
          </w:p>
        </w:tc>
        <w:tc>
          <w:tcPr>
            <w:tcW w:w="647"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产出指标</w:t>
            </w:r>
          </w:p>
        </w:tc>
        <w:tc>
          <w:tcPr>
            <w:tcW w:w="75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数量指标</w:t>
            </w:r>
          </w:p>
        </w:tc>
        <w:tc>
          <w:tcPr>
            <w:tcW w:w="98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发放政策补贴企业数量</w:t>
            </w:r>
          </w:p>
        </w:tc>
        <w:tc>
          <w:tcPr>
            <w:tcW w:w="63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正向</w:t>
            </w:r>
          </w:p>
        </w:tc>
        <w:tc>
          <w:tcPr>
            <w:tcW w:w="86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大于等于</w:t>
            </w:r>
          </w:p>
        </w:tc>
        <w:tc>
          <w:tcPr>
            <w:tcW w:w="11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11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63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家</w:t>
            </w:r>
          </w:p>
        </w:tc>
        <w:tc>
          <w:tcPr>
            <w:tcW w:w="71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6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76" w:hRule="atLeast"/>
        </w:trPr>
        <w:tc>
          <w:tcPr>
            <w:tcW w:w="5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4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98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扶持入园企业数量</w:t>
            </w:r>
          </w:p>
        </w:tc>
        <w:tc>
          <w:tcPr>
            <w:tcW w:w="63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正向</w:t>
            </w:r>
          </w:p>
        </w:tc>
        <w:tc>
          <w:tcPr>
            <w:tcW w:w="86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大于等于</w:t>
            </w:r>
          </w:p>
        </w:tc>
        <w:tc>
          <w:tcPr>
            <w:tcW w:w="11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11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63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家</w:t>
            </w:r>
          </w:p>
        </w:tc>
        <w:tc>
          <w:tcPr>
            <w:tcW w:w="71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6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5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4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质量指标</w:t>
            </w:r>
          </w:p>
        </w:tc>
        <w:tc>
          <w:tcPr>
            <w:tcW w:w="98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区内企业进出口贸易额占全市外贸额比率</w:t>
            </w:r>
          </w:p>
        </w:tc>
        <w:tc>
          <w:tcPr>
            <w:tcW w:w="63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正向</w:t>
            </w:r>
          </w:p>
        </w:tc>
        <w:tc>
          <w:tcPr>
            <w:tcW w:w="86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大于等于</w:t>
            </w:r>
          </w:p>
        </w:tc>
        <w:tc>
          <w:tcPr>
            <w:tcW w:w="11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63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71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6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5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4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98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综保区产业发展资金专款专用率</w:t>
            </w:r>
          </w:p>
        </w:tc>
        <w:tc>
          <w:tcPr>
            <w:tcW w:w="63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正向</w:t>
            </w:r>
          </w:p>
        </w:tc>
        <w:tc>
          <w:tcPr>
            <w:tcW w:w="86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大于等于</w:t>
            </w:r>
          </w:p>
        </w:tc>
        <w:tc>
          <w:tcPr>
            <w:tcW w:w="11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98</w:t>
            </w:r>
          </w:p>
        </w:tc>
        <w:tc>
          <w:tcPr>
            <w:tcW w:w="11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98</w:t>
            </w:r>
          </w:p>
        </w:tc>
        <w:tc>
          <w:tcPr>
            <w:tcW w:w="63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71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6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5" w:hRule="atLeast"/>
        </w:trPr>
        <w:tc>
          <w:tcPr>
            <w:tcW w:w="5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4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时效指标</w:t>
            </w:r>
          </w:p>
        </w:tc>
        <w:tc>
          <w:tcPr>
            <w:tcW w:w="98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政策补贴资金兑付及时率</w:t>
            </w:r>
          </w:p>
        </w:tc>
        <w:tc>
          <w:tcPr>
            <w:tcW w:w="63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正向</w:t>
            </w:r>
          </w:p>
        </w:tc>
        <w:tc>
          <w:tcPr>
            <w:tcW w:w="86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大于等于</w:t>
            </w:r>
          </w:p>
        </w:tc>
        <w:tc>
          <w:tcPr>
            <w:tcW w:w="11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11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63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71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6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62" w:hRule="atLeast"/>
        </w:trPr>
        <w:tc>
          <w:tcPr>
            <w:tcW w:w="5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4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98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政策补贴资金兑付期限</w:t>
            </w:r>
          </w:p>
        </w:tc>
        <w:tc>
          <w:tcPr>
            <w:tcW w:w="63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定性</w:t>
            </w:r>
          </w:p>
        </w:tc>
        <w:tc>
          <w:tcPr>
            <w:tcW w:w="86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1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2024-12-31</w:t>
            </w:r>
          </w:p>
        </w:tc>
        <w:tc>
          <w:tcPr>
            <w:tcW w:w="11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2024-12-21</w:t>
            </w:r>
          </w:p>
        </w:tc>
        <w:tc>
          <w:tcPr>
            <w:tcW w:w="63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1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6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63" w:hRule="atLeast"/>
        </w:trPr>
        <w:tc>
          <w:tcPr>
            <w:tcW w:w="5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4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成本指标</w:t>
            </w:r>
          </w:p>
        </w:tc>
        <w:tc>
          <w:tcPr>
            <w:tcW w:w="98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产业发展资金兑付金额</w:t>
            </w:r>
          </w:p>
        </w:tc>
        <w:tc>
          <w:tcPr>
            <w:tcW w:w="63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反向</w:t>
            </w:r>
          </w:p>
        </w:tc>
        <w:tc>
          <w:tcPr>
            <w:tcW w:w="86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小于等于</w:t>
            </w:r>
          </w:p>
        </w:tc>
        <w:tc>
          <w:tcPr>
            <w:tcW w:w="11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2000</w:t>
            </w:r>
          </w:p>
        </w:tc>
        <w:tc>
          <w:tcPr>
            <w:tcW w:w="11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1971.71</w:t>
            </w:r>
          </w:p>
        </w:tc>
        <w:tc>
          <w:tcPr>
            <w:tcW w:w="63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万元</w:t>
            </w:r>
          </w:p>
        </w:tc>
        <w:tc>
          <w:tcPr>
            <w:tcW w:w="71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6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90" w:hRule="atLeast"/>
        </w:trPr>
        <w:tc>
          <w:tcPr>
            <w:tcW w:w="5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4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98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项目资金合理利用率</w:t>
            </w:r>
          </w:p>
        </w:tc>
        <w:tc>
          <w:tcPr>
            <w:tcW w:w="63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正向</w:t>
            </w:r>
          </w:p>
        </w:tc>
        <w:tc>
          <w:tcPr>
            <w:tcW w:w="86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大于等于</w:t>
            </w:r>
          </w:p>
        </w:tc>
        <w:tc>
          <w:tcPr>
            <w:tcW w:w="11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98</w:t>
            </w:r>
          </w:p>
        </w:tc>
        <w:tc>
          <w:tcPr>
            <w:tcW w:w="11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98</w:t>
            </w:r>
          </w:p>
        </w:tc>
        <w:tc>
          <w:tcPr>
            <w:tcW w:w="63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71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6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71" w:hRule="atLeast"/>
        </w:trPr>
        <w:tc>
          <w:tcPr>
            <w:tcW w:w="5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47"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效益指标</w:t>
            </w:r>
          </w:p>
        </w:tc>
        <w:tc>
          <w:tcPr>
            <w:tcW w:w="75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经济效益指标</w:t>
            </w:r>
          </w:p>
        </w:tc>
        <w:tc>
          <w:tcPr>
            <w:tcW w:w="98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带动鄂尔多斯市进出口贸易额</w:t>
            </w:r>
          </w:p>
        </w:tc>
        <w:tc>
          <w:tcPr>
            <w:tcW w:w="63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定性</w:t>
            </w:r>
          </w:p>
        </w:tc>
        <w:tc>
          <w:tcPr>
            <w:tcW w:w="86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1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持续促进</w:t>
            </w:r>
          </w:p>
        </w:tc>
        <w:tc>
          <w:tcPr>
            <w:tcW w:w="11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持续促进</w:t>
            </w:r>
          </w:p>
        </w:tc>
        <w:tc>
          <w:tcPr>
            <w:tcW w:w="63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1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6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464" w:hRule="atLeast"/>
        </w:trPr>
        <w:tc>
          <w:tcPr>
            <w:tcW w:w="5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4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社会效益指标</w:t>
            </w:r>
          </w:p>
        </w:tc>
        <w:tc>
          <w:tcPr>
            <w:tcW w:w="98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促进鄂尔多斯综合保税区高质量发展</w:t>
            </w:r>
          </w:p>
        </w:tc>
        <w:tc>
          <w:tcPr>
            <w:tcW w:w="63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定性</w:t>
            </w:r>
          </w:p>
        </w:tc>
        <w:tc>
          <w:tcPr>
            <w:tcW w:w="86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1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持续促进</w:t>
            </w:r>
          </w:p>
        </w:tc>
        <w:tc>
          <w:tcPr>
            <w:tcW w:w="11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持续促进</w:t>
            </w:r>
          </w:p>
        </w:tc>
        <w:tc>
          <w:tcPr>
            <w:tcW w:w="63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1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6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7" w:hRule="atLeast"/>
        </w:trPr>
        <w:tc>
          <w:tcPr>
            <w:tcW w:w="5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4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生态效益指标</w:t>
            </w:r>
          </w:p>
        </w:tc>
        <w:tc>
          <w:tcPr>
            <w:tcW w:w="98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促进生态文明建设</w:t>
            </w:r>
          </w:p>
        </w:tc>
        <w:tc>
          <w:tcPr>
            <w:tcW w:w="63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定性</w:t>
            </w:r>
          </w:p>
        </w:tc>
        <w:tc>
          <w:tcPr>
            <w:tcW w:w="86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1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持续促进</w:t>
            </w:r>
          </w:p>
        </w:tc>
        <w:tc>
          <w:tcPr>
            <w:tcW w:w="11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持续促进</w:t>
            </w:r>
          </w:p>
        </w:tc>
        <w:tc>
          <w:tcPr>
            <w:tcW w:w="63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1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6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233" w:hRule="atLeast"/>
        </w:trPr>
        <w:tc>
          <w:tcPr>
            <w:tcW w:w="5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4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可持续影响指标</w:t>
            </w:r>
          </w:p>
        </w:tc>
        <w:tc>
          <w:tcPr>
            <w:tcW w:w="98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促进鄂尔多斯市外贸水平不断提升</w:t>
            </w:r>
          </w:p>
        </w:tc>
        <w:tc>
          <w:tcPr>
            <w:tcW w:w="63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定性</w:t>
            </w:r>
          </w:p>
        </w:tc>
        <w:tc>
          <w:tcPr>
            <w:tcW w:w="86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1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持续促进</w:t>
            </w:r>
          </w:p>
        </w:tc>
        <w:tc>
          <w:tcPr>
            <w:tcW w:w="11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持续促进</w:t>
            </w:r>
          </w:p>
        </w:tc>
        <w:tc>
          <w:tcPr>
            <w:tcW w:w="63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1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6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16" w:hRule="atLeast"/>
        </w:trPr>
        <w:tc>
          <w:tcPr>
            <w:tcW w:w="5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4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满意度指标</w:t>
            </w:r>
          </w:p>
        </w:tc>
        <w:tc>
          <w:tcPr>
            <w:tcW w:w="75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服务对象满意度指标</w:t>
            </w:r>
          </w:p>
        </w:tc>
        <w:tc>
          <w:tcPr>
            <w:tcW w:w="98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入园企业满意度</w:t>
            </w:r>
          </w:p>
        </w:tc>
        <w:tc>
          <w:tcPr>
            <w:tcW w:w="63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正向</w:t>
            </w:r>
          </w:p>
        </w:tc>
        <w:tc>
          <w:tcPr>
            <w:tcW w:w="86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大于等于</w:t>
            </w:r>
          </w:p>
        </w:tc>
        <w:tc>
          <w:tcPr>
            <w:tcW w:w="11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11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63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71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6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50" w:hRule="atLeast"/>
        </w:trPr>
        <w:tc>
          <w:tcPr>
            <w:tcW w:w="7382"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总分</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6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97.86</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bl>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5</w:t>
      </w:r>
      <w:r>
        <w:rPr>
          <w:rFonts w:hint="eastAsia" w:ascii="仿宋_GB2312" w:hAnsi="仿宋_GB2312" w:eastAsia="仿宋_GB2312" w:cs="仿宋_GB2312"/>
          <w:kern w:val="0"/>
          <w:sz w:val="32"/>
          <w:szCs w:val="32"/>
          <w:u w:val="none"/>
        </w:rPr>
        <w:t>.建设管理局土方平衡工程等项目项目自评综述：根据年初设定的绩效目标，项目自评得分</w:t>
      </w:r>
      <w:r>
        <w:rPr>
          <w:rFonts w:hint="eastAsia" w:ascii="仿宋_GB2312" w:hAnsi="仿宋_GB2312" w:eastAsia="仿宋_GB2312" w:cs="仿宋_GB2312"/>
          <w:kern w:val="0"/>
          <w:sz w:val="32"/>
          <w:szCs w:val="32"/>
          <w:u w:val="none"/>
          <w:lang w:val="en-US" w:eastAsia="zh-CN"/>
        </w:rPr>
        <w:t>93.49</w:t>
      </w:r>
      <w:r>
        <w:rPr>
          <w:rFonts w:hint="eastAsia" w:ascii="仿宋_GB2312" w:hAnsi="仿宋_GB2312" w:eastAsia="仿宋_GB2312" w:cs="仿宋_GB2312"/>
          <w:kern w:val="0"/>
          <w:sz w:val="32"/>
          <w:szCs w:val="32"/>
          <w:u w:val="none"/>
        </w:rPr>
        <w:t>分。全年预算数为</w:t>
      </w:r>
      <w:r>
        <w:rPr>
          <w:rFonts w:hint="eastAsia" w:ascii="仿宋_GB2312" w:hAnsi="仿宋_GB2312" w:eastAsia="仿宋_GB2312" w:cs="仿宋_GB2312"/>
          <w:kern w:val="0"/>
          <w:sz w:val="32"/>
          <w:szCs w:val="32"/>
          <w:u w:val="none"/>
          <w:lang w:val="en-US" w:eastAsia="zh-CN"/>
        </w:rPr>
        <w:t>1870</w:t>
      </w:r>
      <w:r>
        <w:rPr>
          <w:rFonts w:hint="eastAsia" w:ascii="仿宋_GB2312" w:hAnsi="仿宋_GB2312" w:eastAsia="仿宋_GB2312" w:cs="仿宋_GB2312"/>
          <w:kern w:val="0"/>
          <w:sz w:val="32"/>
          <w:szCs w:val="32"/>
          <w:u w:val="none"/>
        </w:rPr>
        <w:t>万元，执行数为</w:t>
      </w:r>
      <w:r>
        <w:rPr>
          <w:rFonts w:hint="eastAsia" w:ascii="仿宋_GB2312" w:hAnsi="仿宋_GB2312" w:eastAsia="仿宋_GB2312" w:cs="仿宋_GB2312"/>
          <w:kern w:val="0"/>
          <w:sz w:val="32"/>
          <w:szCs w:val="32"/>
          <w:u w:val="none"/>
          <w:lang w:val="en-US" w:eastAsia="zh-CN"/>
        </w:rPr>
        <w:t>653.22</w:t>
      </w:r>
      <w:r>
        <w:rPr>
          <w:rFonts w:hint="eastAsia" w:ascii="仿宋_GB2312" w:hAnsi="仿宋_GB2312" w:eastAsia="仿宋_GB2312" w:cs="仿宋_GB2312"/>
          <w:kern w:val="0"/>
          <w:sz w:val="32"/>
          <w:szCs w:val="32"/>
          <w:u w:val="none"/>
        </w:rPr>
        <w:t>万元，完成预算的</w:t>
      </w:r>
      <w:r>
        <w:rPr>
          <w:rFonts w:hint="eastAsia" w:ascii="仿宋_GB2312" w:hAnsi="仿宋_GB2312" w:eastAsia="仿宋_GB2312" w:cs="仿宋_GB2312"/>
          <w:kern w:val="0"/>
          <w:sz w:val="32"/>
          <w:szCs w:val="32"/>
          <w:u w:val="none"/>
          <w:lang w:val="en-US" w:eastAsia="zh-CN"/>
        </w:rPr>
        <w:t>34.93</w:t>
      </w:r>
      <w:r>
        <w:rPr>
          <w:rFonts w:hint="eastAsia" w:ascii="仿宋_GB2312" w:hAnsi="仿宋_GB2312" w:eastAsia="仿宋_GB2312" w:cs="仿宋_GB2312"/>
          <w:kern w:val="0"/>
          <w:sz w:val="32"/>
          <w:szCs w:val="32"/>
          <w:u w:val="none"/>
        </w:rPr>
        <w:t>%。项目绩效目标完成情况：按照年初预算安排计划，2024年完成</w:t>
      </w:r>
      <w:r>
        <w:rPr>
          <w:rFonts w:hint="eastAsia" w:ascii="仿宋_GB2312" w:hAnsi="仿宋_GB2312" w:eastAsia="仿宋_GB2312" w:cs="仿宋_GB2312"/>
          <w:kern w:val="0"/>
          <w:sz w:val="32"/>
          <w:szCs w:val="32"/>
          <w:u w:val="none"/>
          <w:lang w:val="en-US" w:eastAsia="zh-CN"/>
        </w:rPr>
        <w:t>了</w:t>
      </w:r>
      <w:r>
        <w:rPr>
          <w:rFonts w:hint="eastAsia" w:ascii="仿宋_GB2312" w:hAnsi="仿宋_GB2312" w:eastAsia="仿宋_GB2312" w:cs="仿宋_GB2312"/>
          <w:kern w:val="0"/>
          <w:sz w:val="32"/>
          <w:szCs w:val="32"/>
          <w:u w:val="none"/>
        </w:rPr>
        <w:t>园区02-08地块土方平衡工程，完成</w:t>
      </w:r>
      <w:r>
        <w:rPr>
          <w:rFonts w:hint="eastAsia" w:ascii="仿宋_GB2312" w:hAnsi="仿宋_GB2312" w:eastAsia="仿宋_GB2312" w:cs="仿宋_GB2312"/>
          <w:kern w:val="0"/>
          <w:sz w:val="32"/>
          <w:szCs w:val="32"/>
          <w:u w:val="none"/>
          <w:lang w:val="en-US" w:eastAsia="zh-CN"/>
        </w:rPr>
        <w:t>了</w:t>
      </w:r>
      <w:r>
        <w:rPr>
          <w:rFonts w:hint="eastAsia" w:ascii="仿宋_GB2312" w:hAnsi="仿宋_GB2312" w:eastAsia="仿宋_GB2312" w:cs="仿宋_GB2312"/>
          <w:kern w:val="0"/>
          <w:sz w:val="32"/>
          <w:szCs w:val="32"/>
          <w:u w:val="none"/>
        </w:rPr>
        <w:t>经三路以西、中央生态大道上行线以东、纬十六路以北、纬十七路以南地块土方平衡工作</w:t>
      </w:r>
      <w:r>
        <w:rPr>
          <w:rFonts w:hint="eastAsia" w:ascii="仿宋_GB2312" w:hAnsi="仿宋_GB2312" w:eastAsia="仿宋_GB2312" w:cs="仿宋_GB2312"/>
          <w:kern w:val="0"/>
          <w:sz w:val="32"/>
          <w:szCs w:val="32"/>
          <w:u w:val="none"/>
          <w:lang w:val="en-US" w:eastAsia="zh-CN"/>
        </w:rPr>
        <w:t>和</w:t>
      </w:r>
      <w:r>
        <w:rPr>
          <w:rFonts w:hint="eastAsia" w:ascii="仿宋_GB2312" w:hAnsi="仿宋_GB2312" w:eastAsia="仿宋_GB2312" w:cs="仿宋_GB2312"/>
          <w:kern w:val="0"/>
          <w:sz w:val="32"/>
          <w:szCs w:val="32"/>
          <w:u w:val="none"/>
        </w:rPr>
        <w:t>园区02-02地块土方平衡测绘</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项目建设开工率、工程质量达标率、成本控制率等核心指标都达到预期比例，</w:t>
      </w:r>
      <w:r>
        <w:rPr>
          <w:rFonts w:hint="eastAsia" w:ascii="仿宋_GB2312" w:hAnsi="仿宋_GB2312" w:eastAsia="仿宋_GB2312" w:cs="仿宋_GB2312"/>
          <w:kern w:val="0"/>
          <w:sz w:val="32"/>
          <w:szCs w:val="32"/>
          <w:u w:val="none"/>
        </w:rPr>
        <w:t>优化</w:t>
      </w:r>
      <w:r>
        <w:rPr>
          <w:rFonts w:hint="eastAsia" w:ascii="仿宋_GB2312" w:hAnsi="仿宋_GB2312" w:eastAsia="仿宋_GB2312" w:cs="仿宋_GB2312"/>
          <w:kern w:val="0"/>
          <w:sz w:val="32"/>
          <w:szCs w:val="32"/>
          <w:u w:val="none"/>
          <w:lang w:val="en-US" w:eastAsia="zh-CN"/>
        </w:rPr>
        <w:t>了</w:t>
      </w:r>
      <w:r>
        <w:rPr>
          <w:rFonts w:hint="eastAsia" w:ascii="仿宋_GB2312" w:hAnsi="仿宋_GB2312" w:eastAsia="仿宋_GB2312" w:cs="仿宋_GB2312"/>
          <w:kern w:val="0"/>
          <w:sz w:val="32"/>
          <w:szCs w:val="32"/>
          <w:u w:val="none"/>
        </w:rPr>
        <w:t>生产生活环境和社会经济环境。发现的主要问题：</w:t>
      </w:r>
      <w:r>
        <w:rPr>
          <w:rFonts w:hint="eastAsia" w:ascii="仿宋_GB2312" w:hAnsi="仿宋_GB2312" w:eastAsia="仿宋_GB2312" w:cs="仿宋_GB2312"/>
          <w:kern w:val="0"/>
          <w:sz w:val="32"/>
          <w:szCs w:val="32"/>
          <w:u w:val="none"/>
          <w:lang w:val="en-US" w:eastAsia="zh-CN"/>
        </w:rPr>
        <w:t>绩效目标设立不够明确、细化和量化，资金使用效益有待进一步提高。原因：预算编制及自评</w:t>
      </w:r>
      <w:r>
        <w:rPr>
          <w:rFonts w:hint="default" w:ascii="仿宋_GB2312" w:hAnsi="仿宋_GB2312" w:eastAsia="仿宋_GB2312" w:cs="仿宋_GB2312"/>
          <w:kern w:val="0"/>
          <w:sz w:val="32"/>
          <w:szCs w:val="32"/>
          <w:u w:val="none"/>
          <w:lang w:val="en-US" w:eastAsia="zh-CN"/>
        </w:rPr>
        <w:t>经办人员相关的政策、业务</w:t>
      </w:r>
      <w:r>
        <w:rPr>
          <w:rFonts w:hint="eastAsia" w:ascii="仿宋_GB2312" w:hAnsi="仿宋_GB2312" w:eastAsia="仿宋_GB2312" w:cs="仿宋_GB2312"/>
          <w:kern w:val="0"/>
          <w:sz w:val="32"/>
          <w:szCs w:val="32"/>
          <w:u w:val="none"/>
          <w:lang w:val="en-US" w:eastAsia="zh-CN"/>
        </w:rPr>
        <w:t>专业性不强。</w:t>
      </w:r>
      <w:r>
        <w:rPr>
          <w:rFonts w:hint="eastAsia" w:ascii="仿宋_GB2312" w:hAnsi="仿宋_GB2312" w:eastAsia="仿宋_GB2312" w:cs="仿宋_GB2312"/>
          <w:kern w:val="0"/>
          <w:sz w:val="32"/>
          <w:szCs w:val="32"/>
          <w:u w:val="none"/>
        </w:rPr>
        <w:t>下一步改进措施：</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预算财务分析常态化，定期做好预算支出财务分析，做好部门整体支出预算评价工作。</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在确保项目高效运转的情况下，加强项目经费管理。</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加强单位预算编制工作，根据人员情况、业务开展需要，逐项做出预算计划，预算合理、不留缺口、不留空项。</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业务培训，提高评价水平，项目支出绩效自评工作是一项长期性工作，专业性强，工作量大，建议财政部门进一步加强开展部门领导及经办人员相关的政策、业务工作培训，组织开展部门之间、单位之间的经验交流，切实推进绩效评价工作的开展。  </w:t>
      </w:r>
    </w:p>
    <w:tbl>
      <w:tblPr>
        <w:tblStyle w:val="19"/>
        <w:tblW w:w="97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13"/>
        <w:gridCol w:w="793"/>
        <w:gridCol w:w="958"/>
        <w:gridCol w:w="929"/>
        <w:gridCol w:w="853"/>
        <w:gridCol w:w="659"/>
        <w:gridCol w:w="854"/>
        <w:gridCol w:w="766"/>
        <w:gridCol w:w="736"/>
        <w:gridCol w:w="793"/>
        <w:gridCol w:w="872"/>
        <w:gridCol w:w="8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099" w:hRule="atLeast"/>
        </w:trPr>
        <w:tc>
          <w:tcPr>
            <w:tcW w:w="970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项目支出绩效自评表</w:t>
            </w:r>
            <w:r>
              <w:rPr>
                <w:rFonts w:hint="eastAsia" w:ascii="宋体" w:hAnsi="宋体" w:eastAsia="宋体" w:cs="宋体"/>
                <w:b/>
                <w:i w:val="0"/>
                <w:color w:val="000000"/>
                <w:kern w:val="0"/>
                <w:sz w:val="40"/>
                <w:szCs w:val="40"/>
                <w:u w:val="none"/>
                <w:lang w:val="en-US" w:eastAsia="zh-CN" w:bidi="ar"/>
              </w:rPr>
              <w:br w:type="textWrapping"/>
            </w:r>
            <w:r>
              <w:rPr>
                <w:rFonts w:hint="eastAsia" w:ascii="宋体" w:hAnsi="宋体" w:eastAsia="宋体" w:cs="宋体"/>
                <w:b/>
                <w:i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4" w:hRule="atLeast"/>
        </w:trPr>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294"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建设管理局-土方平衡工程等项目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30" w:hRule="atLeast"/>
        </w:trPr>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3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鄂尔多斯空港物流园区管理委员会（部门）</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27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鄂尔多斯空港物流园区管理委员会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2" w:hRule="atLeast"/>
        </w:trPr>
        <w:tc>
          <w:tcPr>
            <w:tcW w:w="140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（万元）</w:t>
            </w:r>
          </w:p>
        </w:tc>
        <w:tc>
          <w:tcPr>
            <w:tcW w:w="9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8" w:hRule="atLeast"/>
        </w:trPr>
        <w:tc>
          <w:tcPr>
            <w:tcW w:w="14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1870</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1870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653.22 </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34.93 </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95" w:hRule="atLeast"/>
        </w:trPr>
        <w:tc>
          <w:tcPr>
            <w:tcW w:w="14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1870</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1870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653.22</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34.93</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14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7" w:hRule="atLeast"/>
        </w:trPr>
        <w:tc>
          <w:tcPr>
            <w:tcW w:w="14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4" w:hRule="atLeast"/>
        </w:trPr>
        <w:tc>
          <w:tcPr>
            <w:tcW w:w="140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25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04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068" w:hRule="atLeast"/>
        </w:trPr>
        <w:tc>
          <w:tcPr>
            <w:tcW w:w="14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25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2024年完成：1.园区02-08地块土方平衡工程，用于经三路以西、中央生态大道上行线以东、纬十六路以北、纬十七路以南地块土方平衡工作。2.园区02-02地块土方平衡测绘项目。3.产业发展项目土方平衡。 4.园区新建道路铁路项目前期工作 5.鄂尔多斯空港物流园区08-78地块市政道路建设项目。</w:t>
            </w:r>
          </w:p>
        </w:tc>
        <w:tc>
          <w:tcPr>
            <w:tcW w:w="404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2024年完成：1.园区02-08地块土方平衡工程，用于经三路以西、中央生态大道上行线以东、纬十六路以北、纬十七路以南地块土方平衡工作。2.园区02-02地块土方平衡测绘项目。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11"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9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8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57" w:hRule="atLeast"/>
        </w:trPr>
        <w:tc>
          <w:tcPr>
            <w:tcW w:w="61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79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95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9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重点项目数量</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7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w:t>
            </w:r>
          </w:p>
        </w:tc>
        <w:tc>
          <w:tcPr>
            <w:tcW w:w="73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7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95" w:hRule="atLeast"/>
        </w:trPr>
        <w:tc>
          <w:tcPr>
            <w:tcW w:w="61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项目建设开工率</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7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73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73" w:hRule="atLeast"/>
        </w:trPr>
        <w:tc>
          <w:tcPr>
            <w:tcW w:w="61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9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工程质量达标率</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7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73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18" w:hRule="atLeast"/>
        </w:trPr>
        <w:tc>
          <w:tcPr>
            <w:tcW w:w="61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增量提质工程</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7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73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58" w:hRule="atLeast"/>
        </w:trPr>
        <w:tc>
          <w:tcPr>
            <w:tcW w:w="61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9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重点项目完成及时率</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7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73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81" w:hRule="atLeast"/>
        </w:trPr>
        <w:tc>
          <w:tcPr>
            <w:tcW w:w="61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项目完成时间</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6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2024年12月</w:t>
            </w:r>
          </w:p>
        </w:tc>
        <w:tc>
          <w:tcPr>
            <w:tcW w:w="7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2024年12月</w:t>
            </w:r>
          </w:p>
        </w:tc>
        <w:tc>
          <w:tcPr>
            <w:tcW w:w="73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48" w:hRule="atLeast"/>
        </w:trPr>
        <w:tc>
          <w:tcPr>
            <w:tcW w:w="61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9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项目成本</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6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1870</w:t>
            </w:r>
          </w:p>
        </w:tc>
        <w:tc>
          <w:tcPr>
            <w:tcW w:w="7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653.22</w:t>
            </w:r>
          </w:p>
        </w:tc>
        <w:tc>
          <w:tcPr>
            <w:tcW w:w="73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7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5" w:hRule="atLeast"/>
        </w:trPr>
        <w:tc>
          <w:tcPr>
            <w:tcW w:w="61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成本控制率</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7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73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69" w:hRule="atLeast"/>
        </w:trPr>
        <w:tc>
          <w:tcPr>
            <w:tcW w:w="61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95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9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优化生产生活环境和社会经济环境</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6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效果显著</w:t>
            </w:r>
          </w:p>
        </w:tc>
        <w:tc>
          <w:tcPr>
            <w:tcW w:w="7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效果显著</w:t>
            </w:r>
          </w:p>
        </w:tc>
        <w:tc>
          <w:tcPr>
            <w:tcW w:w="73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97" w:hRule="atLeast"/>
        </w:trPr>
        <w:tc>
          <w:tcPr>
            <w:tcW w:w="61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9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有利于促进可持续发展</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6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有效增加</w:t>
            </w:r>
          </w:p>
        </w:tc>
        <w:tc>
          <w:tcPr>
            <w:tcW w:w="7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有效增加</w:t>
            </w:r>
          </w:p>
        </w:tc>
        <w:tc>
          <w:tcPr>
            <w:tcW w:w="73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36" w:hRule="atLeast"/>
        </w:trPr>
        <w:tc>
          <w:tcPr>
            <w:tcW w:w="61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95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9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受益群众及企业满意度</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7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73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7" w:hRule="atLeast"/>
        </w:trPr>
        <w:tc>
          <w:tcPr>
            <w:tcW w:w="7161"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93.49</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widowControl/>
        <w:spacing w:before="240" w:after="240"/>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rPr>
        <w:t>（三）单位项目绩效评价结果。</w:t>
      </w:r>
    </w:p>
    <w:p>
      <w:pPr>
        <w:widowControl/>
        <w:spacing w:before="240" w:after="240"/>
        <w:ind w:firstLine="540" w:firstLineChars="200"/>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kern w:val="0"/>
          <w:sz w:val="27"/>
          <w:szCs w:val="27"/>
        </w:rPr>
        <w:t>   </w:t>
      </w:r>
      <w:r>
        <w:rPr>
          <w:rFonts w:hint="eastAsia" w:ascii="仿宋_GB2312" w:hAnsi="仿宋_GB2312" w:eastAsia="仿宋_GB2312" w:cs="仿宋_GB2312"/>
          <w:b w:val="0"/>
          <w:bCs w:val="0"/>
          <w:kern w:val="0"/>
          <w:sz w:val="32"/>
          <w:szCs w:val="32"/>
          <w:lang w:val="en-US" w:eastAsia="zh-CN" w:bidi="ar-SA"/>
        </w:rPr>
        <w:t>本单位本年没有重点绩效评价工作。</w:t>
      </w:r>
    </w:p>
    <w:p>
      <w:pPr>
        <w:pStyle w:val="2"/>
        <w:keepNext w:val="0"/>
        <w:keepLines w:val="0"/>
        <w:pageBreakBefore w:val="0"/>
        <w:widowControl/>
        <w:kinsoku/>
        <w:wordWrap/>
        <w:overflowPunct/>
        <w:topLinePunct w:val="0"/>
        <w:autoSpaceDE/>
        <w:autoSpaceDN/>
        <w:bidi w:val="0"/>
        <w:adjustRightInd/>
        <w:snapToGrid/>
        <w:spacing w:before="299" w:after="299" w:line="520" w:lineRule="exact"/>
        <w:jc w:val="center"/>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第三部分  名词解释</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一、财政拨款收入：</w:t>
      </w:r>
      <w:r>
        <w:rPr>
          <w:rFonts w:hint="eastAsia" w:ascii="仿宋_GB2312" w:hAnsi="仿宋_GB2312" w:eastAsia="仿宋_GB2312" w:cs="仿宋_GB2312"/>
          <w:b w:val="0"/>
          <w:bCs w:val="0"/>
          <w:kern w:val="0"/>
          <w:sz w:val="32"/>
          <w:szCs w:val="32"/>
          <w:lang w:val="en-US" w:eastAsia="zh-CN" w:bidi="ar-SA"/>
        </w:rPr>
        <w:t>从同级财政部门取得的各类财政拨款，包括一般公共预算财政拨款、政府性基金预算财政拨款、国有资本经营预算财政拨款。</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二、上级补助收入：</w:t>
      </w:r>
      <w:r>
        <w:rPr>
          <w:rFonts w:hint="eastAsia" w:ascii="仿宋_GB2312" w:hAnsi="仿宋_GB2312" w:eastAsia="仿宋_GB2312" w:cs="仿宋_GB2312"/>
          <w:b w:val="0"/>
          <w:bCs w:val="0"/>
          <w:kern w:val="0"/>
          <w:sz w:val="32"/>
          <w:szCs w:val="32"/>
          <w:lang w:val="en-US" w:eastAsia="zh-CN" w:bidi="ar-SA"/>
        </w:rPr>
        <w:t>指事业单位从主管部门和上级单位取得的非财政补助收入。</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w:t>
      </w:r>
      <w:r>
        <w:rPr>
          <w:rFonts w:hint="eastAsia" w:ascii="仿宋_GB2312" w:hAnsi="仿宋_GB2312" w:eastAsia="仿宋_GB2312" w:cs="仿宋_GB2312"/>
          <w:b/>
          <w:bCs/>
          <w:kern w:val="0"/>
          <w:sz w:val="32"/>
          <w:szCs w:val="32"/>
        </w:rPr>
        <w:t xml:space="preserve"> 三、财政专户管理教育收费：</w:t>
      </w:r>
      <w:r>
        <w:rPr>
          <w:rFonts w:hint="eastAsia" w:ascii="仿宋_GB2312" w:hAnsi="仿宋_GB2312" w:eastAsia="仿宋_GB2312" w:cs="仿宋_GB2312"/>
          <w:b w:val="0"/>
          <w:bCs w:val="0"/>
          <w:kern w:val="0"/>
          <w:sz w:val="32"/>
          <w:szCs w:val="32"/>
          <w:lang w:val="en-US" w:eastAsia="zh-CN" w:bidi="ar-SA"/>
        </w:rPr>
        <w:t>指缴入财政专户、实行专项管理的高中以上学费、住宿费、高校委托培养费、函大、电大、夜大及短训班培训费等教育收费。</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四、事业收入：</w:t>
      </w:r>
      <w:r>
        <w:rPr>
          <w:rFonts w:hint="eastAsia" w:ascii="仿宋_GB2312" w:hAnsi="仿宋_GB2312" w:eastAsia="仿宋_GB2312" w:cs="仿宋_GB2312"/>
          <w:b w:val="0"/>
          <w:bCs w:val="0"/>
          <w:kern w:val="0"/>
          <w:sz w:val="32"/>
          <w:szCs w:val="32"/>
          <w:lang w:val="en-US" w:eastAsia="zh-CN" w:bidi="ar-SA"/>
        </w:rPr>
        <w:t>指事业单位开展专业业务活动及其辅助活动取得的收入。</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五、经营收入：</w:t>
      </w:r>
      <w:r>
        <w:rPr>
          <w:rFonts w:hint="eastAsia" w:ascii="仿宋_GB2312" w:hAnsi="仿宋_GB2312" w:eastAsia="仿宋_GB2312" w:cs="仿宋_GB2312"/>
          <w:b w:val="0"/>
          <w:bCs w:val="0"/>
          <w:kern w:val="0"/>
          <w:sz w:val="32"/>
          <w:szCs w:val="32"/>
          <w:lang w:val="en-US" w:eastAsia="zh-CN" w:bidi="ar-SA"/>
        </w:rPr>
        <w:t>指事业单位在专业业务活动及其辅助活动之外开展非独立核算经营活动取得的收入。</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六、附属单位上缴收入：</w:t>
      </w:r>
      <w:r>
        <w:rPr>
          <w:rFonts w:hint="eastAsia" w:ascii="仿宋_GB2312" w:hAnsi="仿宋_GB2312" w:eastAsia="仿宋_GB2312" w:cs="仿宋_GB2312"/>
          <w:b w:val="0"/>
          <w:bCs w:val="0"/>
          <w:kern w:val="0"/>
          <w:sz w:val="32"/>
          <w:szCs w:val="32"/>
          <w:lang w:val="en-US" w:eastAsia="zh-CN" w:bidi="ar-SA"/>
        </w:rPr>
        <w:t>指事业单位取得附属独立核算单位按照有关规定上缴的收入。</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七、其他收入：</w:t>
      </w:r>
      <w:r>
        <w:rPr>
          <w:rFonts w:hint="eastAsia" w:ascii="仿宋_GB2312" w:hAnsi="仿宋_GB2312" w:eastAsia="仿宋_GB2312" w:cs="仿宋_GB2312"/>
          <w:b w:val="0"/>
          <w:bCs w:val="0"/>
          <w:kern w:val="0"/>
          <w:sz w:val="32"/>
          <w:szCs w:val="32"/>
          <w:lang w:val="en-US" w:eastAsia="zh-CN" w:bidi="ar-SA"/>
        </w:rPr>
        <w:t>取得的除上述“财政拨款收入”、“上级补助收入”、“事业收入”、“经营收入”、“附属单位上缴收入”等以外的各项收入。</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八、使用非财政拨款结余和专用结余：</w:t>
      </w:r>
      <w:r>
        <w:rPr>
          <w:rFonts w:hint="eastAsia" w:ascii="仿宋_GB2312" w:hAnsi="仿宋_GB2312" w:eastAsia="仿宋_GB2312" w:cs="仿宋_GB2312"/>
          <w:b w:val="0"/>
          <w:bCs w:val="0"/>
          <w:kern w:val="0"/>
          <w:sz w:val="32"/>
          <w:szCs w:val="32"/>
          <w:lang w:val="en-US" w:eastAsia="zh-CN" w:bidi="ar-SA"/>
        </w:rPr>
        <w:t>指事业单位按照预算管理要求使用非财政拨款结余和专用结余弥补当年收支差额的数额。</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九、年初结转和结余：</w:t>
      </w:r>
      <w:r>
        <w:rPr>
          <w:rFonts w:hint="eastAsia" w:ascii="仿宋_GB2312" w:hAnsi="仿宋_GB2312" w:eastAsia="仿宋_GB2312" w:cs="仿宋_GB2312"/>
          <w:b w:val="0"/>
          <w:bCs w:val="0"/>
          <w:kern w:val="0"/>
          <w:sz w:val="32"/>
          <w:szCs w:val="32"/>
          <w:lang w:val="en-US" w:eastAsia="zh-CN" w:bidi="ar-SA"/>
        </w:rPr>
        <w:t>指单位上年结转本年使用的基本支出结转、项目支出结转和结余、经营结余。</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十、结余分配：</w:t>
      </w:r>
      <w:r>
        <w:rPr>
          <w:rFonts w:hint="eastAsia" w:ascii="仿宋_GB2312" w:hAnsi="仿宋_GB2312" w:eastAsia="仿宋_GB2312" w:cs="仿宋_GB2312"/>
          <w:b w:val="0"/>
          <w:bCs w:val="0"/>
          <w:kern w:val="0"/>
          <w:sz w:val="32"/>
          <w:szCs w:val="32"/>
          <w:lang w:val="en-US" w:eastAsia="zh-CN" w:bidi="ar-SA"/>
        </w:rPr>
        <w:t>指事业单位按规定缴纳企业所得税以及从非财政拨款结余或经营结余中提取各类结余的情况。</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十一、年末结转和结余资金：</w:t>
      </w:r>
      <w:r>
        <w:rPr>
          <w:rFonts w:hint="eastAsia" w:ascii="仿宋_GB2312" w:hAnsi="仿宋_GB2312" w:eastAsia="仿宋_GB2312" w:cs="仿宋_GB2312"/>
          <w:b w:val="0"/>
          <w:bCs w:val="0"/>
          <w:kern w:val="0"/>
          <w:sz w:val="32"/>
          <w:szCs w:val="32"/>
          <w:lang w:val="en-US" w:eastAsia="zh-CN" w:bidi="ar-SA"/>
        </w:rPr>
        <w:t>指单位结转下年的基本支出结转、项目支出结转和结余、经营结余。</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十二、基本支出：</w:t>
      </w:r>
      <w:r>
        <w:rPr>
          <w:rFonts w:hint="eastAsia" w:ascii="仿宋_GB2312" w:hAnsi="仿宋_GB2312" w:eastAsia="仿宋_GB2312" w:cs="仿宋_GB2312"/>
          <w:b w:val="0"/>
          <w:bCs w:val="0"/>
          <w:kern w:val="0"/>
          <w:sz w:val="32"/>
          <w:szCs w:val="32"/>
          <w:lang w:val="en-US" w:eastAsia="zh-CN" w:bidi="ar-SA"/>
        </w:rPr>
        <w:t>指为保障机构正常运转、完成日常工作任务所发生的支出，包括人员经费和公用经费。</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十三、项目支出：</w:t>
      </w:r>
      <w:r>
        <w:rPr>
          <w:rFonts w:hint="eastAsia" w:ascii="仿宋_GB2312" w:hAnsi="仿宋_GB2312" w:eastAsia="仿宋_GB2312" w:cs="仿宋_GB2312"/>
          <w:b w:val="0"/>
          <w:bCs w:val="0"/>
          <w:kern w:val="0"/>
          <w:sz w:val="32"/>
          <w:szCs w:val="32"/>
          <w:lang w:val="en-US" w:eastAsia="zh-CN" w:bidi="ar-SA"/>
        </w:rPr>
        <w:t>指在为完成特定的工作任务和事业发展目标所发生的支出。</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十四、上缴上级支出：</w:t>
      </w:r>
      <w:r>
        <w:rPr>
          <w:rFonts w:hint="eastAsia" w:ascii="仿宋_GB2312" w:hAnsi="仿宋_GB2312" w:eastAsia="仿宋_GB2312" w:cs="仿宋_GB2312"/>
          <w:b w:val="0"/>
          <w:bCs w:val="0"/>
          <w:kern w:val="0"/>
          <w:sz w:val="32"/>
          <w:szCs w:val="32"/>
          <w:lang w:val="en-US" w:eastAsia="zh-CN" w:bidi="ar-SA"/>
        </w:rPr>
        <w:t>指事业单位按照财政部门和主管部门的规定上缴上级单位的支出。</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十五、经营支出：</w:t>
      </w:r>
      <w:r>
        <w:rPr>
          <w:rFonts w:hint="eastAsia" w:ascii="仿宋_GB2312" w:hAnsi="仿宋_GB2312" w:eastAsia="仿宋_GB2312" w:cs="仿宋_GB2312"/>
          <w:b w:val="0"/>
          <w:bCs w:val="0"/>
          <w:kern w:val="0"/>
          <w:sz w:val="32"/>
          <w:szCs w:val="32"/>
          <w:lang w:val="en-US" w:eastAsia="zh-CN" w:bidi="ar-SA"/>
        </w:rPr>
        <w:t>指事业单位在专业业务活动及其辅助活动之外开展非独立核算经营活动发生的支出。</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w:t>
      </w:r>
      <w:r>
        <w:rPr>
          <w:rFonts w:hint="eastAsia" w:ascii="仿宋_GB2312" w:hAnsi="仿宋_GB2312" w:eastAsia="仿宋_GB2312" w:cs="仿宋_GB2312"/>
          <w:b/>
          <w:bCs/>
          <w:kern w:val="0"/>
          <w:sz w:val="32"/>
          <w:szCs w:val="32"/>
        </w:rPr>
        <w:t xml:space="preserve"> 十六、对附属单位补助支出：</w:t>
      </w:r>
      <w:r>
        <w:rPr>
          <w:rFonts w:hint="eastAsia" w:ascii="仿宋_GB2312" w:hAnsi="仿宋_GB2312" w:eastAsia="仿宋_GB2312" w:cs="仿宋_GB2312"/>
          <w:b w:val="0"/>
          <w:bCs w:val="0"/>
          <w:kern w:val="0"/>
          <w:sz w:val="32"/>
          <w:szCs w:val="32"/>
          <w:lang w:val="en-US" w:eastAsia="zh-CN" w:bidi="ar-SA"/>
        </w:rPr>
        <w:t>指事业单位用财政拨款收入之外的收入对附属单位补助发生的支出。</w:t>
      </w: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b/>
          <w:bCs/>
          <w:kern w:val="0"/>
          <w:sz w:val="27"/>
          <w:szCs w:val="27"/>
        </w:rPr>
        <w:t xml:space="preserve">    </w:t>
      </w:r>
      <w:r>
        <w:rPr>
          <w:rFonts w:hint="eastAsia" w:ascii="仿宋_GB2312" w:hAnsi="仿宋_GB2312" w:eastAsia="仿宋_GB2312" w:cs="仿宋_GB2312"/>
          <w:b/>
          <w:bCs/>
          <w:kern w:val="0"/>
          <w:sz w:val="32"/>
          <w:szCs w:val="32"/>
        </w:rPr>
        <w:t>十七、“三公”经费：</w:t>
      </w:r>
      <w:r>
        <w:rPr>
          <w:rFonts w:hint="eastAsia" w:ascii="仿宋_GB2312" w:hAnsi="仿宋_GB2312" w:eastAsia="仿宋_GB2312" w:cs="仿宋_GB2312"/>
          <w:b w:val="0"/>
          <w:bCs w:val="0"/>
          <w:kern w:val="0"/>
          <w:sz w:val="32"/>
          <w:szCs w:val="32"/>
          <w:lang w:val="en-US" w:eastAsia="zh-CN" w:bidi="ar-SA"/>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pPr>
        <w:widowControl/>
        <w:spacing w:before="240" w:after="240"/>
        <w:ind w:firstLine="481"/>
        <w:jc w:val="left"/>
      </w:pPr>
      <w:r>
        <w:rPr>
          <w:rFonts w:hint="eastAsia" w:ascii="仿宋_GB2312" w:hAnsi="仿宋_GB2312" w:eastAsia="仿宋_GB2312" w:cs="仿宋_GB2312"/>
          <w:b/>
          <w:bCs/>
          <w:kern w:val="0"/>
          <w:sz w:val="32"/>
          <w:szCs w:val="32"/>
        </w:rPr>
        <w:t>十八、机构运行经费：</w:t>
      </w:r>
      <w:r>
        <w:rPr>
          <w:rFonts w:hint="eastAsia" w:ascii="仿宋_GB2312" w:hAnsi="仿宋_GB2312" w:eastAsia="仿宋_GB2312" w:cs="仿宋_GB2312"/>
          <w:b w:val="0"/>
          <w:bCs w:val="0"/>
          <w:kern w:val="0"/>
          <w:sz w:val="32"/>
          <w:szCs w:val="32"/>
          <w:lang w:val="en-US" w:eastAsia="zh-CN" w:bidi="ar-SA"/>
        </w:rPr>
        <w:t>指部门（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pStyle w:val="2"/>
        <w:keepNext w:val="0"/>
        <w:keepLines w:val="0"/>
        <w:pageBreakBefore w:val="0"/>
        <w:widowControl/>
        <w:kinsoku/>
        <w:wordWrap/>
        <w:overflowPunct/>
        <w:topLinePunct w:val="0"/>
        <w:autoSpaceDE/>
        <w:autoSpaceDN/>
        <w:bidi w:val="0"/>
        <w:adjustRightInd/>
        <w:snapToGrid/>
        <w:spacing w:before="299" w:after="299" w:line="520" w:lineRule="exact"/>
        <w:jc w:val="center"/>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第四部分 决算公开联系方式及信息反馈渠道</w:t>
      </w:r>
    </w:p>
    <w:p>
      <w:pPr>
        <w:widowControl/>
        <w:spacing w:before="240" w:after="240"/>
        <w:ind w:firstLine="481"/>
        <w:jc w:val="left"/>
        <w:rPr>
          <w:rFonts w:hint="eastAsia" w:ascii="仿宋_GB2312" w:hAnsi="仿宋_GB2312" w:eastAsia="仿宋_GB2312" w:cs="仿宋_GB2312"/>
          <w:b w:val="0"/>
          <w:bCs w:val="0"/>
          <w:kern w:val="0"/>
          <w:sz w:val="32"/>
          <w:szCs w:val="32"/>
          <w:lang w:val="en-US" w:eastAsia="zh-CN" w:bidi="ar-SA"/>
        </w:rPr>
      </w:pPr>
      <w:r>
        <w:rPr>
          <w:rFonts w:ascii="fang_song_gb2312" w:hAnsi="fang_song_gb2312" w:eastAsia="fang_song_gb2312" w:cs="fang_song_gb2312"/>
          <w:kern w:val="0"/>
          <w:sz w:val="27"/>
          <w:szCs w:val="27"/>
        </w:rPr>
        <w:t xml:space="preserve">    </w:t>
      </w:r>
      <w:r>
        <w:rPr>
          <w:rFonts w:hint="eastAsia" w:ascii="仿宋_GB2312" w:hAnsi="仿宋_GB2312" w:eastAsia="仿宋_GB2312" w:cs="仿宋_GB2312"/>
          <w:b w:val="0"/>
          <w:bCs w:val="0"/>
          <w:kern w:val="0"/>
          <w:sz w:val="32"/>
          <w:szCs w:val="32"/>
          <w:lang w:val="en-US" w:eastAsia="zh-CN" w:bidi="ar-SA"/>
        </w:rPr>
        <w:t>本单位决算公开信息反馈和联系方式：</w:t>
      </w:r>
    </w:p>
    <w:p>
      <w:pPr>
        <w:widowControl/>
        <w:spacing w:before="240" w:after="240"/>
        <w:ind w:firstLine="481"/>
        <w:jc w:val="left"/>
        <w:rPr>
          <w:rFonts w:ascii="Times New Roman" w:hAnsi="Times New Roman" w:eastAsia="Times New Roman" w:cs="Times New Roman"/>
          <w:kern w:val="0"/>
          <w:sz w:val="24"/>
        </w:rPr>
      </w:pPr>
      <w:r>
        <w:rPr>
          <w:rFonts w:hint="eastAsia" w:ascii="仿宋_GB2312" w:hAnsi="仿宋_GB2312" w:eastAsia="仿宋_GB2312" w:cs="仿宋_GB2312"/>
          <w:b w:val="0"/>
          <w:bCs w:val="0"/>
          <w:kern w:val="0"/>
          <w:sz w:val="32"/>
          <w:szCs w:val="32"/>
          <w:lang w:val="en-US" w:eastAsia="zh-CN" w:bidi="ar-SA"/>
        </w:rPr>
        <w:t>    联系人：张宏斌           联系电话：18647700281 </w:t>
      </w:r>
    </w:p>
    <w:p>
      <w:pPr>
        <w:pStyle w:val="2"/>
        <w:keepNext w:val="0"/>
        <w:keepLines w:val="0"/>
        <w:pageBreakBefore w:val="0"/>
        <w:widowControl/>
        <w:kinsoku/>
        <w:wordWrap/>
        <w:overflowPunct/>
        <w:topLinePunct w:val="0"/>
        <w:autoSpaceDE/>
        <w:autoSpaceDN/>
        <w:bidi w:val="0"/>
        <w:adjustRightInd/>
        <w:snapToGrid/>
        <w:spacing w:before="299" w:after="299" w:line="520" w:lineRule="exact"/>
        <w:jc w:val="center"/>
        <w:rPr>
          <w:rFonts w:hint="eastAsia" w:ascii="方正小标宋简体" w:hAnsi="方正小标宋简体" w:eastAsia="方正小标宋简体" w:cs="方正小标宋简体"/>
          <w:b w:val="0"/>
          <w:bCs w:val="0"/>
          <w:kern w:val="0"/>
          <w:sz w:val="44"/>
          <w:szCs w:val="44"/>
        </w:rPr>
      </w:pPr>
    </w:p>
    <w:p>
      <w:pPr>
        <w:pStyle w:val="2"/>
        <w:keepNext w:val="0"/>
        <w:keepLines w:val="0"/>
        <w:pageBreakBefore w:val="0"/>
        <w:widowControl/>
        <w:kinsoku/>
        <w:wordWrap/>
        <w:overflowPunct/>
        <w:topLinePunct w:val="0"/>
        <w:autoSpaceDE/>
        <w:autoSpaceDN/>
        <w:bidi w:val="0"/>
        <w:adjustRightInd/>
        <w:snapToGrid/>
        <w:spacing w:before="299" w:after="299" w:line="520" w:lineRule="exact"/>
        <w:jc w:val="center"/>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第五部分 部门决算表</w:t>
      </w:r>
    </w:p>
    <w:p>
      <w:pPr>
        <w:widowControl/>
        <w:spacing w:before="240" w:after="240"/>
        <w:jc w:val="center"/>
        <w:rPr>
          <w:rFonts w:ascii="Times New Roman" w:hAnsi="Times New Roman" w:eastAsia="Times New Roman" w:cs="Times New Roman"/>
          <w:kern w:val="0"/>
          <w:sz w:val="24"/>
        </w:rPr>
      </w:pPr>
    </w:p>
    <w:p>
      <w:pPr>
        <w:widowControl/>
        <w:spacing w:before="240" w:after="240"/>
        <w:jc w:val="left"/>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详见附件</w:t>
      </w:r>
    </w:p>
    <w:p>
      <w:pPr>
        <w:pStyle w:val="2"/>
        <w:keepNext w:val="0"/>
        <w:keepLines w:val="0"/>
        <w:pageBreakBefore w:val="0"/>
        <w:widowControl/>
        <w:kinsoku/>
        <w:wordWrap/>
        <w:overflowPunct/>
        <w:topLinePunct w:val="0"/>
        <w:autoSpaceDE/>
        <w:autoSpaceDN/>
        <w:bidi w:val="0"/>
        <w:adjustRightInd/>
        <w:snapToGrid/>
        <w:spacing w:before="299" w:after="299" w:line="520" w:lineRule="exact"/>
        <w:jc w:val="center"/>
        <w:rPr>
          <w:rFonts w:hint="eastAsia" w:ascii="方正小标宋简体" w:hAnsi="方正小标宋简体" w:eastAsia="方正小标宋简体" w:cs="方正小标宋简体"/>
          <w:b w:val="0"/>
          <w:bCs w:val="0"/>
          <w:kern w:val="0"/>
          <w:sz w:val="44"/>
          <w:szCs w:val="44"/>
        </w:rPr>
      </w:pPr>
      <w:bookmarkStart w:id="1" w:name="_GoBack"/>
      <w:bookmarkEnd w:id="1"/>
    </w:p>
    <w:p>
      <w:pPr>
        <w:pStyle w:val="2"/>
        <w:keepNext w:val="0"/>
        <w:keepLines w:val="0"/>
        <w:pageBreakBefore w:val="0"/>
        <w:widowControl/>
        <w:kinsoku/>
        <w:wordWrap/>
        <w:overflowPunct/>
        <w:topLinePunct w:val="0"/>
        <w:autoSpaceDE/>
        <w:autoSpaceDN/>
        <w:bidi w:val="0"/>
        <w:adjustRightInd/>
        <w:snapToGrid/>
        <w:spacing w:before="299" w:after="299" w:line="520" w:lineRule="exact"/>
        <w:jc w:val="center"/>
        <w:rPr>
          <w:rFonts w:hint="eastAsia" w:ascii="方正小标宋简体" w:hAnsi="方正小标宋简体" w:eastAsia="方正小标宋简体" w:cs="方正小标宋简体"/>
          <w:b w:val="0"/>
          <w:bCs w:val="0"/>
          <w:kern w:val="0"/>
          <w:sz w:val="44"/>
          <w:szCs w:val="44"/>
          <w:lang w:val="en-US" w:eastAsia="zh-CN"/>
        </w:rPr>
      </w:pPr>
      <w:r>
        <w:rPr>
          <w:rFonts w:hint="eastAsia" w:ascii="方正小标宋简体" w:hAnsi="方正小标宋简体" w:eastAsia="方正小标宋简体" w:cs="方正小标宋简体"/>
          <w:b w:val="0"/>
          <w:bCs w:val="0"/>
          <w:kern w:val="0"/>
          <w:sz w:val="44"/>
          <w:szCs w:val="44"/>
        </w:rPr>
        <w:t>第</w:t>
      </w:r>
      <w:r>
        <w:rPr>
          <w:rFonts w:hint="eastAsia" w:ascii="方正小标宋简体" w:hAnsi="方正小标宋简体" w:eastAsia="方正小标宋简体" w:cs="方正小标宋简体"/>
          <w:b w:val="0"/>
          <w:bCs w:val="0"/>
          <w:kern w:val="0"/>
          <w:sz w:val="44"/>
          <w:szCs w:val="44"/>
          <w:lang w:val="en-US" w:eastAsia="zh-CN"/>
        </w:rPr>
        <w:t>六</w:t>
      </w:r>
      <w:r>
        <w:rPr>
          <w:rFonts w:hint="eastAsia" w:ascii="方正小标宋简体" w:hAnsi="方正小标宋简体" w:eastAsia="方正小标宋简体" w:cs="方正小标宋简体"/>
          <w:b w:val="0"/>
          <w:bCs w:val="0"/>
          <w:kern w:val="0"/>
          <w:sz w:val="44"/>
          <w:szCs w:val="44"/>
        </w:rPr>
        <w:t xml:space="preserve">部分 </w:t>
      </w:r>
      <w:r>
        <w:rPr>
          <w:rFonts w:hint="eastAsia" w:ascii="方正小标宋简体" w:hAnsi="方正小标宋简体" w:eastAsia="方正小标宋简体" w:cs="方正小标宋简体"/>
          <w:b w:val="0"/>
          <w:bCs w:val="0"/>
          <w:kern w:val="0"/>
          <w:sz w:val="44"/>
          <w:szCs w:val="44"/>
          <w:lang w:val="en-US" w:eastAsia="zh-CN"/>
        </w:rPr>
        <w:t>附件</w:t>
      </w:r>
    </w:p>
    <w:p>
      <w:pPr>
        <w:widowControl/>
        <w:spacing w:before="240" w:after="240"/>
        <w:jc w:val="left"/>
        <w:rPr>
          <w:rFonts w:hint="eastAsia"/>
          <w:b w:val="0"/>
          <w:bCs w:val="0"/>
          <w:lang w:val="en-US" w:eastAsia="zh-CN"/>
        </w:rPr>
      </w:pPr>
      <w:r>
        <w:rPr>
          <w:rFonts w:hint="eastAsia" w:ascii="仿宋_GB2312" w:hAnsi="仿宋_GB2312" w:eastAsia="仿宋_GB2312" w:cs="仿宋_GB2312"/>
          <w:b w:val="0"/>
          <w:bCs w:val="0"/>
          <w:kern w:val="0"/>
          <w:sz w:val="32"/>
          <w:szCs w:val="32"/>
          <w:lang w:val="en-US" w:eastAsia="zh-CN" w:bidi="ar-SA"/>
        </w:rPr>
        <w:t>详见附件</w:t>
      </w:r>
    </w:p>
    <w:p>
      <w:pPr>
        <w:rPr>
          <w:rFonts w:hint="default"/>
          <w:lang w:val="en-US" w:eastAsia="zh-CN"/>
        </w:rPr>
      </w:pPr>
      <w:r>
        <w:rPr>
          <w:rFonts w:hint="eastAsia" w:ascii="仿宋_GB2312" w:hAnsi="仿宋_GB2312" w:eastAsia="仿宋_GB2312" w:cs="仿宋_GB2312"/>
          <w:b w:val="0"/>
          <w:bCs w:val="0"/>
          <w:kern w:val="0"/>
          <w:sz w:val="32"/>
          <w:szCs w:val="32"/>
          <w:lang w:val="en-US" w:eastAsia="zh-CN" w:bidi="ar-SA"/>
        </w:rPr>
        <w:t>备注：按决算公开编制要求，决算公开报告及公开表的计数单位为万元，而2024年决算编制是以元为计数单位，因此小数点后第二位存在四舍五入的差异。</w:t>
      </w:r>
    </w:p>
    <w:bookmarkEnd w:id="0"/>
    <w:p>
      <w:pPr>
        <w:tabs>
          <w:tab w:val="left" w:pos="8415"/>
        </w:tabs>
      </w:pPr>
    </w:p>
    <w:sectPr>
      <w:headerReference r:id="rId4" w:type="default"/>
      <w:footerReference r:id="rId5"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fang_song_gb2312">
    <w:altName w:val="Segoe Print"/>
    <w:panose1 w:val="00000000000000000000"/>
    <w:charset w:val="00"/>
    <w:family w:val="auto"/>
    <w:pitch w:val="default"/>
    <w:sig w:usb0="00000000" w:usb1="00000000" w:usb2="00000000" w:usb3="00000000" w:csb0="00000000" w:csb1="00000000"/>
  </w:font>
  <w:font w:name="kai_ti_gb231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 PAGE   \* MERGEFORMAT </w:instrText>
    </w:r>
    <w:r>
      <w:fldChar w:fldCharType="separate"/>
    </w:r>
    <w:r>
      <w:rPr>
        <w:lang w:val="zh-CN"/>
      </w:rPr>
      <w:t>24</w:t>
    </w:r>
    <w:r>
      <w:rPr>
        <w:lang w:val="zh-CN"/>
      </w:rP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5NzIwYjI4YWJmMTY5YWQ2MTY4MGE2N2MxYzhjYWMifQ=="/>
    <w:docVar w:name="KSO_WPS_MARK_KEY" w:val="b8deca16-ff83-4dcf-b4b3-a40a586e5382"/>
  </w:docVars>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325"/>
    <w:rsid w:val="001E7634"/>
    <w:rsid w:val="00204509"/>
    <w:rsid w:val="00225D2E"/>
    <w:rsid w:val="0023107E"/>
    <w:rsid w:val="00233241"/>
    <w:rsid w:val="00297C52"/>
    <w:rsid w:val="00300987"/>
    <w:rsid w:val="0030784F"/>
    <w:rsid w:val="00312846"/>
    <w:rsid w:val="00367870"/>
    <w:rsid w:val="00375E79"/>
    <w:rsid w:val="003A4E85"/>
    <w:rsid w:val="003B3EAA"/>
    <w:rsid w:val="0040568A"/>
    <w:rsid w:val="00482D36"/>
    <w:rsid w:val="00490629"/>
    <w:rsid w:val="0049507B"/>
    <w:rsid w:val="004A738F"/>
    <w:rsid w:val="004B1589"/>
    <w:rsid w:val="004B721F"/>
    <w:rsid w:val="004D7065"/>
    <w:rsid w:val="004E0B6C"/>
    <w:rsid w:val="005011E1"/>
    <w:rsid w:val="00505A51"/>
    <w:rsid w:val="0051384E"/>
    <w:rsid w:val="00521603"/>
    <w:rsid w:val="00536012"/>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857D98"/>
    <w:rsid w:val="00893E41"/>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D2051A"/>
    <w:rsid w:val="00D96390"/>
    <w:rsid w:val="00E219E7"/>
    <w:rsid w:val="00E60D6A"/>
    <w:rsid w:val="00E73321"/>
    <w:rsid w:val="00E77EC0"/>
    <w:rsid w:val="00E914C1"/>
    <w:rsid w:val="00E97C37"/>
    <w:rsid w:val="00EE533B"/>
    <w:rsid w:val="00F04882"/>
    <w:rsid w:val="00F63327"/>
    <w:rsid w:val="00F80A29"/>
    <w:rsid w:val="00FA7CA5"/>
    <w:rsid w:val="00FD08EC"/>
    <w:rsid w:val="00FD7690"/>
    <w:rsid w:val="01BD310A"/>
    <w:rsid w:val="01F0502D"/>
    <w:rsid w:val="026F1D32"/>
    <w:rsid w:val="02C013EF"/>
    <w:rsid w:val="03A76793"/>
    <w:rsid w:val="057F7660"/>
    <w:rsid w:val="058438A5"/>
    <w:rsid w:val="05A513DC"/>
    <w:rsid w:val="05B52570"/>
    <w:rsid w:val="064A2DBA"/>
    <w:rsid w:val="070D32E0"/>
    <w:rsid w:val="07663029"/>
    <w:rsid w:val="084C6B50"/>
    <w:rsid w:val="08A15929"/>
    <w:rsid w:val="091A0BA4"/>
    <w:rsid w:val="0A306FF4"/>
    <w:rsid w:val="0A347D9A"/>
    <w:rsid w:val="0A5563A0"/>
    <w:rsid w:val="0E094728"/>
    <w:rsid w:val="0FB9325E"/>
    <w:rsid w:val="10D4182F"/>
    <w:rsid w:val="115B2645"/>
    <w:rsid w:val="13ED5B4E"/>
    <w:rsid w:val="14073F93"/>
    <w:rsid w:val="1421496E"/>
    <w:rsid w:val="14420209"/>
    <w:rsid w:val="144D204C"/>
    <w:rsid w:val="15AE039A"/>
    <w:rsid w:val="17DA3BA7"/>
    <w:rsid w:val="18C30EB3"/>
    <w:rsid w:val="19534FB2"/>
    <w:rsid w:val="197B7BEA"/>
    <w:rsid w:val="1AD522E9"/>
    <w:rsid w:val="1B6F5871"/>
    <w:rsid w:val="1B924343"/>
    <w:rsid w:val="1B9E6DF4"/>
    <w:rsid w:val="1C1B6C4E"/>
    <w:rsid w:val="1CCD2A05"/>
    <w:rsid w:val="1E06532D"/>
    <w:rsid w:val="1F0B3DFA"/>
    <w:rsid w:val="200B1461"/>
    <w:rsid w:val="210D0B40"/>
    <w:rsid w:val="21C72973"/>
    <w:rsid w:val="224D50F1"/>
    <w:rsid w:val="226C06ED"/>
    <w:rsid w:val="229F34E6"/>
    <w:rsid w:val="234A01AB"/>
    <w:rsid w:val="249E514F"/>
    <w:rsid w:val="288A541A"/>
    <w:rsid w:val="289A4DD0"/>
    <w:rsid w:val="29443374"/>
    <w:rsid w:val="2A3B2DB1"/>
    <w:rsid w:val="2A406467"/>
    <w:rsid w:val="2A8A4880"/>
    <w:rsid w:val="2C3D29A2"/>
    <w:rsid w:val="2C4F3D42"/>
    <w:rsid w:val="2DE700B3"/>
    <w:rsid w:val="2E20142E"/>
    <w:rsid w:val="2F9D3176"/>
    <w:rsid w:val="32E420AE"/>
    <w:rsid w:val="3419182A"/>
    <w:rsid w:val="349E3981"/>
    <w:rsid w:val="3511791B"/>
    <w:rsid w:val="366D0B90"/>
    <w:rsid w:val="376A4B9C"/>
    <w:rsid w:val="38EE03DC"/>
    <w:rsid w:val="38F36A33"/>
    <w:rsid w:val="39594A05"/>
    <w:rsid w:val="399927F0"/>
    <w:rsid w:val="3A75198B"/>
    <w:rsid w:val="3B074206"/>
    <w:rsid w:val="3B32332B"/>
    <w:rsid w:val="3BC42E45"/>
    <w:rsid w:val="3EC246E4"/>
    <w:rsid w:val="3F566266"/>
    <w:rsid w:val="3FA249FB"/>
    <w:rsid w:val="400A3645"/>
    <w:rsid w:val="40393196"/>
    <w:rsid w:val="41CE40F5"/>
    <w:rsid w:val="428A652C"/>
    <w:rsid w:val="45100DFE"/>
    <w:rsid w:val="475D6A09"/>
    <w:rsid w:val="49A100CB"/>
    <w:rsid w:val="4B4621EB"/>
    <w:rsid w:val="4B774ACA"/>
    <w:rsid w:val="4EA225D9"/>
    <w:rsid w:val="516F0850"/>
    <w:rsid w:val="525530D7"/>
    <w:rsid w:val="529D37ED"/>
    <w:rsid w:val="539A7379"/>
    <w:rsid w:val="53EE57FC"/>
    <w:rsid w:val="53F50A6D"/>
    <w:rsid w:val="54152DC0"/>
    <w:rsid w:val="552C45C3"/>
    <w:rsid w:val="58C0272E"/>
    <w:rsid w:val="58C425F6"/>
    <w:rsid w:val="5B385751"/>
    <w:rsid w:val="5B503268"/>
    <w:rsid w:val="5E546C79"/>
    <w:rsid w:val="5FD233BE"/>
    <w:rsid w:val="60845C14"/>
    <w:rsid w:val="60AB6513"/>
    <w:rsid w:val="62794CA8"/>
    <w:rsid w:val="6485499B"/>
    <w:rsid w:val="659714C8"/>
    <w:rsid w:val="65B532FD"/>
    <w:rsid w:val="66CC3E62"/>
    <w:rsid w:val="68EC60B1"/>
    <w:rsid w:val="691564D2"/>
    <w:rsid w:val="693E2401"/>
    <w:rsid w:val="6A5747D9"/>
    <w:rsid w:val="6C4956A7"/>
    <w:rsid w:val="6D9A6A2E"/>
    <w:rsid w:val="71F73E0E"/>
    <w:rsid w:val="724E28E7"/>
    <w:rsid w:val="73401135"/>
    <w:rsid w:val="73CC5770"/>
    <w:rsid w:val="75C46E25"/>
    <w:rsid w:val="766A23B3"/>
    <w:rsid w:val="7A11761F"/>
    <w:rsid w:val="7AB94C09"/>
    <w:rsid w:val="7D255B5C"/>
    <w:rsid w:val="7DDE0957"/>
    <w:rsid w:val="7DDE1FB6"/>
    <w:rsid w:val="7EFF3119"/>
    <w:rsid w:val="7F450C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8"/>
    <w:qFormat/>
    <w:uiPriority w:val="0"/>
    <w:pPr>
      <w:keepNext/>
      <w:keepLines/>
      <w:spacing w:before="260" w:after="260" w:line="416" w:lineRule="auto"/>
      <w:outlineLvl w:val="2"/>
    </w:pPr>
    <w:rPr>
      <w:b/>
      <w:bCs/>
      <w:sz w:val="32"/>
      <w:szCs w:val="32"/>
    </w:rPr>
  </w:style>
  <w:style w:type="paragraph" w:styleId="5">
    <w:name w:val="heading 4"/>
    <w:basedOn w:val="1"/>
    <w:next w:val="1"/>
    <w:link w:val="23"/>
    <w:qFormat/>
    <w:uiPriority w:val="0"/>
    <w:pPr>
      <w:keepNext/>
      <w:keepLines/>
      <w:spacing w:before="280" w:after="290" w:line="376" w:lineRule="auto"/>
      <w:outlineLvl w:val="3"/>
    </w:pPr>
    <w:rPr>
      <w:rFonts w:ascii="Cambria" w:hAnsi="Cambria"/>
      <w:b/>
      <w:bCs/>
      <w:sz w:val="28"/>
      <w:szCs w:val="28"/>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Layout w:type="fixed"/>
      <w:tblCellMar>
        <w:top w:w="0" w:type="dxa"/>
        <w:left w:w="108" w:type="dxa"/>
        <w:bottom w:w="0" w:type="dxa"/>
        <w:right w:w="108" w:type="dxa"/>
      </w:tblCellMar>
    </w:tblPr>
  </w:style>
  <w:style w:type="paragraph" w:styleId="6">
    <w:name w:val="toc 7"/>
    <w:basedOn w:val="1"/>
    <w:next w:val="1"/>
    <w:qFormat/>
    <w:uiPriority w:val="0"/>
    <w:pPr>
      <w:ind w:left="1260"/>
      <w:jc w:val="left"/>
    </w:pPr>
    <w:rPr>
      <w:sz w:val="20"/>
      <w:szCs w:val="20"/>
    </w:rPr>
  </w:style>
  <w:style w:type="paragraph" w:styleId="7">
    <w:name w:val="Document Map"/>
    <w:basedOn w:val="1"/>
    <w:qFormat/>
    <w:uiPriority w:val="0"/>
    <w:pPr>
      <w:shd w:val="clear" w:color="auto" w:fill="000080"/>
    </w:pPr>
  </w:style>
  <w:style w:type="paragraph" w:styleId="8">
    <w:name w:val="Body Text"/>
    <w:basedOn w:val="1"/>
    <w:unhideWhenUsed/>
    <w:qFormat/>
    <w:uiPriority w:val="1"/>
    <w:pPr>
      <w:spacing w:after="120"/>
    </w:pPr>
  </w:style>
  <w:style w:type="paragraph" w:styleId="9">
    <w:name w:val="toc 5"/>
    <w:basedOn w:val="1"/>
    <w:next w:val="1"/>
    <w:qFormat/>
    <w:uiPriority w:val="0"/>
    <w:pPr>
      <w:ind w:left="840"/>
      <w:jc w:val="left"/>
    </w:pPr>
    <w:rPr>
      <w:sz w:val="20"/>
      <w:szCs w:val="20"/>
    </w:rPr>
  </w:style>
  <w:style w:type="paragraph" w:styleId="10">
    <w:name w:val="toc 3"/>
    <w:basedOn w:val="1"/>
    <w:next w:val="1"/>
    <w:qFormat/>
    <w:uiPriority w:val="0"/>
    <w:pPr>
      <w:adjustRightInd w:val="0"/>
      <w:snapToGrid w:val="0"/>
      <w:spacing w:line="360" w:lineRule="auto"/>
      <w:ind w:firstLine="400" w:firstLineChars="400"/>
      <w:jc w:val="left"/>
    </w:pPr>
    <w:rPr>
      <w:sz w:val="24"/>
      <w:szCs w:val="20"/>
    </w:rPr>
  </w:style>
  <w:style w:type="paragraph" w:styleId="11">
    <w:name w:val="toc 8"/>
    <w:basedOn w:val="1"/>
    <w:next w:val="1"/>
    <w:qFormat/>
    <w:uiPriority w:val="0"/>
    <w:pPr>
      <w:ind w:left="1470"/>
      <w:jc w:val="left"/>
    </w:pPr>
    <w:rPr>
      <w:sz w:val="20"/>
      <w:szCs w:val="20"/>
    </w:rPr>
  </w:style>
  <w:style w:type="paragraph" w:styleId="12">
    <w:name w:val="footer"/>
    <w:basedOn w:val="1"/>
    <w:link w:val="26"/>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pPr>
      <w:adjustRightInd w:val="0"/>
      <w:snapToGrid w:val="0"/>
      <w:spacing w:line="360" w:lineRule="auto"/>
      <w:jc w:val="left"/>
    </w:pPr>
    <w:rPr>
      <w:b/>
      <w:bCs/>
      <w:sz w:val="24"/>
      <w:szCs w:val="20"/>
    </w:rPr>
  </w:style>
  <w:style w:type="paragraph" w:styleId="15">
    <w:name w:val="toc 4"/>
    <w:basedOn w:val="1"/>
    <w:next w:val="1"/>
    <w:qFormat/>
    <w:uiPriority w:val="0"/>
    <w:pPr>
      <w:ind w:left="630"/>
      <w:jc w:val="left"/>
    </w:pPr>
    <w:rPr>
      <w:sz w:val="20"/>
      <w:szCs w:val="20"/>
    </w:rPr>
  </w:style>
  <w:style w:type="paragraph" w:styleId="16">
    <w:name w:val="toc 6"/>
    <w:basedOn w:val="1"/>
    <w:next w:val="1"/>
    <w:qFormat/>
    <w:uiPriority w:val="0"/>
    <w:pPr>
      <w:ind w:left="1050"/>
      <w:jc w:val="left"/>
    </w:pPr>
    <w:rPr>
      <w:sz w:val="20"/>
      <w:szCs w:val="20"/>
    </w:rPr>
  </w:style>
  <w:style w:type="paragraph" w:styleId="17">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8">
    <w:name w:val="toc 9"/>
    <w:basedOn w:val="1"/>
    <w:next w:val="1"/>
    <w:qFormat/>
    <w:uiPriority w:val="0"/>
    <w:pPr>
      <w:ind w:left="1680"/>
      <w:jc w:val="left"/>
    </w:pPr>
    <w:rPr>
      <w:sz w:val="20"/>
      <w:szCs w:val="20"/>
    </w:rPr>
  </w:style>
  <w:style w:type="character" w:styleId="21">
    <w:name w:val="page number"/>
    <w:basedOn w:val="20"/>
    <w:qFormat/>
    <w:uiPriority w:val="0"/>
  </w:style>
  <w:style w:type="character" w:styleId="22">
    <w:name w:val="Hyperlink"/>
    <w:basedOn w:val="20"/>
    <w:qFormat/>
    <w:uiPriority w:val="0"/>
    <w:rPr>
      <w:color w:val="0000FF"/>
      <w:u w:val="single"/>
    </w:rPr>
  </w:style>
  <w:style w:type="character" w:customStyle="1" w:styleId="23">
    <w:name w:val="标题 4 字符"/>
    <w:basedOn w:val="20"/>
    <w:link w:val="5"/>
    <w:qFormat/>
    <w:uiPriority w:val="0"/>
    <w:rPr>
      <w:rFonts w:ascii="Cambria" w:hAnsi="Cambria"/>
      <w:b/>
      <w:bCs/>
      <w:kern w:val="2"/>
      <w:sz w:val="28"/>
      <w:szCs w:val="28"/>
    </w:rPr>
  </w:style>
  <w:style w:type="paragraph" w:styleId="24">
    <w:name w:val="No Spacing"/>
    <w:link w:val="25"/>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5">
    <w:name w:val="无间隔 字符"/>
    <w:link w:val="24"/>
    <w:qFormat/>
    <w:locked/>
    <w:uiPriority w:val="0"/>
    <w:rPr>
      <w:rFonts w:eastAsia="仿宋_GB2312"/>
      <w:sz w:val="30"/>
      <w:szCs w:val="22"/>
      <w:lang w:bidi="ar-SA"/>
    </w:rPr>
  </w:style>
  <w:style w:type="character" w:customStyle="1" w:styleId="26">
    <w:name w:val="页脚 字符"/>
    <w:basedOn w:val="20"/>
    <w:link w:val="12"/>
    <w:qFormat/>
    <w:uiPriority w:val="0"/>
    <w:rPr>
      <w:kern w:val="2"/>
      <w:sz w:val="18"/>
      <w:szCs w:val="18"/>
    </w:rPr>
  </w:style>
  <w:style w:type="paragraph" w:styleId="27">
    <w:name w:val="List Paragraph"/>
    <w:basedOn w:val="1"/>
    <w:qFormat/>
    <w:uiPriority w:val="0"/>
    <w:pPr>
      <w:ind w:firstLine="420" w:firstLineChars="200"/>
    </w:pPr>
  </w:style>
  <w:style w:type="character" w:customStyle="1" w:styleId="28">
    <w:name w:val="标题 3 字符"/>
    <w:basedOn w:val="20"/>
    <w:link w:val="4"/>
    <w:qFormat/>
    <w:uiPriority w:val="0"/>
    <w:rPr>
      <w:b/>
      <w:bCs/>
      <w:kern w:val="2"/>
      <w:sz w:val="32"/>
      <w:szCs w:val="32"/>
    </w:rPr>
  </w:style>
  <w:style w:type="character" w:customStyle="1" w:styleId="29">
    <w:name w:val="font11"/>
    <w:basedOn w:val="20"/>
    <w:qFormat/>
    <w:uiPriority w:val="0"/>
    <w:rPr>
      <w:rFonts w:ascii="宋体" w:hAnsi="宋体" w:eastAsia="宋体" w:cs="宋体"/>
      <w:b/>
      <w:color w:val="000000"/>
      <w:sz w:val="24"/>
      <w:szCs w:val="24"/>
      <w:u w:val="none"/>
    </w:rPr>
  </w:style>
  <w:style w:type="character" w:customStyle="1" w:styleId="30">
    <w:name w:val="font91"/>
    <w:basedOn w:val="20"/>
    <w:qFormat/>
    <w:uiPriority w:val="0"/>
    <w:rPr>
      <w:rFonts w:ascii="宋体" w:hAnsi="宋体" w:eastAsia="宋体" w:cs="宋体"/>
      <w:color w:val="000000"/>
      <w:sz w:val="24"/>
      <w:szCs w:val="24"/>
      <w:u w:val="none"/>
    </w:rPr>
  </w:style>
  <w:style w:type="character" w:customStyle="1" w:styleId="31">
    <w:name w:val="font51"/>
    <w:basedOn w:val="20"/>
    <w:qFormat/>
    <w:uiPriority w:val="0"/>
    <w:rPr>
      <w:rFonts w:ascii="宋体" w:hAnsi="宋体" w:eastAsia="宋体" w:cs="宋体"/>
      <w:color w:val="000000"/>
      <w:sz w:val="18"/>
      <w:szCs w:val="18"/>
      <w:u w:val="none"/>
    </w:rPr>
  </w:style>
  <w:style w:type="character" w:customStyle="1" w:styleId="32">
    <w:name w:val="font21"/>
    <w:basedOn w:val="20"/>
    <w:qFormat/>
    <w:uiPriority w:val="0"/>
    <w:rPr>
      <w:rFonts w:hint="eastAsia" w:ascii="宋体" w:hAnsi="宋体" w:eastAsia="宋体" w:cs="宋体"/>
      <w:color w:val="000000"/>
      <w:sz w:val="22"/>
      <w:szCs w:val="22"/>
      <w:u w:val="none"/>
    </w:rPr>
  </w:style>
  <w:style w:type="character" w:customStyle="1" w:styleId="33">
    <w:name w:val="font31"/>
    <w:basedOn w:val="20"/>
    <w:qFormat/>
    <w:uiPriority w:val="0"/>
    <w:rPr>
      <w:rFonts w:hint="default" w:ascii="Arial" w:hAnsi="Arial" w:cs="Arial"/>
      <w:color w:val="000000"/>
      <w:sz w:val="22"/>
      <w:szCs w:val="22"/>
      <w:u w:val="none"/>
    </w:rPr>
  </w:style>
  <w:style w:type="character" w:customStyle="1" w:styleId="34">
    <w:name w:val="font01"/>
    <w:basedOn w:val="20"/>
    <w:qFormat/>
    <w:uiPriority w:val="0"/>
    <w:rPr>
      <w:rFonts w:ascii="宋体" w:hAnsi="宋体" w:eastAsia="宋体" w:cs="宋体"/>
      <w:color w:val="000000"/>
      <w:sz w:val="18"/>
      <w:szCs w:val="18"/>
      <w:u w:val="none"/>
    </w:rPr>
  </w:style>
  <w:style w:type="character" w:customStyle="1" w:styleId="35">
    <w:name w:val="font101"/>
    <w:basedOn w:val="20"/>
    <w:qFormat/>
    <w:uiPriority w:val="0"/>
    <w:rPr>
      <w:rFonts w:hint="eastAsia" w:ascii="宋体" w:hAnsi="宋体" w:eastAsia="宋体" w:cs="宋体"/>
      <w:color w:val="000000"/>
      <w:sz w:val="22"/>
      <w:szCs w:val="22"/>
      <w:u w:val="none"/>
    </w:rPr>
  </w:style>
  <w:style w:type="character" w:customStyle="1" w:styleId="36">
    <w:name w:val="font81"/>
    <w:basedOn w:val="20"/>
    <w:qFormat/>
    <w:uiPriority w:val="0"/>
    <w:rPr>
      <w:rFonts w:hint="default" w:ascii="Arial" w:hAnsi="Arial" w:cs="Arial"/>
      <w:color w:val="000000"/>
      <w:sz w:val="22"/>
      <w:szCs w:val="22"/>
      <w:u w:val="none"/>
    </w:rPr>
  </w:style>
  <w:style w:type="character" w:customStyle="1" w:styleId="37">
    <w:name w:val="font41"/>
    <w:basedOn w:val="20"/>
    <w:qFormat/>
    <w:uiPriority w:val="0"/>
    <w:rPr>
      <w:rFonts w:hint="eastAsia" w:ascii="宋体" w:hAnsi="宋体" w:eastAsia="宋体" w:cs="宋体"/>
      <w:color w:val="000000"/>
      <w:sz w:val="18"/>
      <w:szCs w:val="18"/>
      <w:u w:val="none"/>
    </w:rPr>
  </w:style>
  <w:style w:type="character" w:customStyle="1" w:styleId="38">
    <w:name w:val="font61"/>
    <w:basedOn w:val="20"/>
    <w:qFormat/>
    <w:uiPriority w:val="0"/>
    <w:rPr>
      <w:rFonts w:ascii="宋体" w:hAnsi="宋体" w:eastAsia="宋体" w:cs="宋体"/>
      <w:b/>
      <w:color w:val="000000"/>
      <w:sz w:val="24"/>
      <w:szCs w:val="24"/>
      <w:u w:val="none"/>
    </w:rPr>
  </w:style>
  <w:style w:type="paragraph" w:customStyle="1" w:styleId="39">
    <w:name w:val="Body Text First Indent 21"/>
    <w:basedOn w:val="40"/>
    <w:qFormat/>
    <w:uiPriority w:val="0"/>
    <w:pPr>
      <w:ind w:firstLine="420" w:firstLineChars="200"/>
    </w:pPr>
  </w:style>
  <w:style w:type="paragraph" w:customStyle="1" w:styleId="40">
    <w:name w:val="Body Text Indent1"/>
    <w:basedOn w:val="1"/>
    <w:qFormat/>
    <w:uiPriority w:val="0"/>
    <w:pPr>
      <w:ind w:left="420" w:leftChars="200"/>
    </w:pPr>
    <w:rPr>
      <w:rFonts w:ascii="Calibri" w:hAnsi="Calibri"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Desktop\&#24352;&#23439;&#25996;\&#20250;&#35745;\&#21382;&#24180;&#20915;&#31639;\2024&#24180;&#20915;&#31639;\&#20844;&#24320;\&#37122;&#23572;&#22810;&#26031;&#31354;&#28207;&#29289;&#27969;&#22253;&#21306;&#31649;&#29702;&#22996;&#21592;&#20250;\&#39292;&#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支出决算图</a:t>
            </a:r>
          </a:p>
        </c:rich>
      </c:tx>
      <c:layout/>
      <c:overlay val="0"/>
      <c:spPr>
        <a:noFill/>
        <a:ln>
          <a:noFill/>
        </a:ln>
        <a:effectLst/>
      </c:spPr>
    </c:title>
    <c:autoTitleDeleted val="0"/>
    <c:plotArea>
      <c:layout>
        <c:manualLayout>
          <c:layoutTarget val="inner"/>
          <c:xMode val="edge"/>
          <c:yMode val="edge"/>
          <c:x val="0.315593640771226"/>
          <c:y val="0.161920951976201"/>
          <c:w val="0.390235652271958"/>
          <c:h val="0.735444113897153"/>
        </c:manualLayout>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基本支出</a:t>
                    </a:r>
                  </a:p>
                  <a:p>
                    <a:pPr defTabSz="914400">
                      <a:defRPr lang="zh-CN" sz="900" b="0" i="0" u="none" strike="noStrike" kern="1200" baseline="0">
                        <a:solidFill>
                          <a:schemeClr val="tx1">
                            <a:lumMod val="75000"/>
                            <a:lumOff val="25000"/>
                          </a:schemeClr>
                        </a:solidFill>
                        <a:latin typeface="+mn-lt"/>
                        <a:ea typeface="+mn-ea"/>
                        <a:cs typeface="+mn-cs"/>
                      </a:defRPr>
                    </a:pPr>
                    <a:r>
                      <a:rPr lang="en-US" altLang="zh-CN"/>
                      <a:t>5</a:t>
                    </a:r>
                    <a:r>
                      <a:t>%</a:t>
                    </a:r>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项目支出</a:t>
                    </a:r>
                  </a:p>
                  <a:p>
                    <a:pPr defTabSz="914400">
                      <a:defRPr lang="zh-CN" sz="900" b="0" i="0" u="none" strike="noStrike" kern="1200" baseline="0">
                        <a:solidFill>
                          <a:schemeClr val="tx1">
                            <a:lumMod val="75000"/>
                            <a:lumOff val="25000"/>
                          </a:schemeClr>
                        </a:solidFill>
                        <a:latin typeface="+mn-lt"/>
                        <a:ea typeface="+mn-ea"/>
                        <a:cs typeface="+mn-cs"/>
                      </a:defRPr>
                    </a:pPr>
                    <a:r>
                      <a:rPr lang="en-US" altLang="zh-CN"/>
                      <a:t>95</a:t>
                    </a:r>
                    <a:r>
                      <a:t>%</a:t>
                    </a:r>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[饼图.xlsx]Sheet2!$A$33:$A$34</c:f>
              <c:strCache>
                <c:ptCount val="2"/>
                <c:pt idx="0">
                  <c:v>基本支出</c:v>
                </c:pt>
                <c:pt idx="1">
                  <c:v>项目支出</c:v>
                </c:pt>
              </c:strCache>
            </c:strRef>
          </c:cat>
          <c:val>
            <c:numRef>
              <c:f>[饼图.xlsx]Sheet2!$B$33:$B$34</c:f>
              <c:numCache>
                <c:formatCode>0.00%</c:formatCode>
                <c:ptCount val="2"/>
                <c:pt idx="0">
                  <c:v>0.05</c:v>
                </c:pt>
                <c:pt idx="1">
                  <c:v>0.95</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37</Pages>
  <Words>17286</Words>
  <Characters>19343</Characters>
  <Lines>1</Lines>
  <Paragraphs>1</Paragraphs>
  <TotalTime>0</TotalTime>
  <ScaleCrop>false</ScaleCrop>
  <LinksUpToDate>false</LinksUpToDate>
  <CharactersWithSpaces>19947</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张宏斌</cp:lastModifiedBy>
  <cp:lastPrinted>2021-04-16T00:45:00Z</cp:lastPrinted>
  <dcterms:modified xsi:type="dcterms:W3CDTF">2025-09-19T04:24:39Z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y fmtid="{D5CDD505-2E9C-101B-9397-08002B2CF9AE}" pid="3" name="ICV">
    <vt:lpwstr>6CD8D0F35F3F4CD3B97211D84D657C7E</vt:lpwstr>
  </property>
</Properties>
</file>