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keepNext/>
        <w:keepLines/>
        <w:tabs>
          <w:tab w:val="left" w:pos="6669"/>
        </w:tabs>
        <w:autoSpaceDE w:val="0"/>
        <w:autoSpaceDN w:val="0"/>
        <w:adjustRightInd w:val="0"/>
        <w:spacing w:beforeLines="0" w:afterLines="0"/>
        <w:ind w:left="198"/>
        <w:jc w:val="center"/>
        <w:rPr>
          <w:rFonts w:hint="eastAsia" w:ascii="方正小标宋简体" w:hAnsi="方正小标宋简体" w:eastAsia="方正小标宋简体" w:cs="Times New Roman"/>
          <w:color w:val="auto"/>
          <w:kern w:val="2"/>
          <w:sz w:val="44"/>
          <w:szCs w:val="22"/>
        </w:rPr>
      </w:pPr>
      <w:r>
        <w:rPr>
          <w:rFonts w:hint="eastAsia" w:ascii="方正小标宋简体" w:hAnsi="方正小标宋简体" w:eastAsia="方正小标宋简体" w:cs="Times New Roman"/>
          <w:color w:val="auto"/>
          <w:kern w:val="2"/>
          <w:sz w:val="44"/>
          <w:szCs w:val="22"/>
        </w:rPr>
        <w:t>202</w:t>
      </w:r>
      <w:r>
        <w:rPr>
          <w:rFonts w:hint="eastAsia" w:ascii="方正小标宋简体" w:hAnsi="方正小标宋简体" w:eastAsia="方正小标宋简体" w:cs="Times New Roman"/>
          <w:color w:val="auto"/>
          <w:kern w:val="2"/>
          <w:sz w:val="44"/>
          <w:szCs w:val="22"/>
          <w:lang w:val="en-US" w:eastAsia="zh-CN"/>
        </w:rPr>
        <w:t>4</w:t>
      </w:r>
      <w:r>
        <w:rPr>
          <w:rFonts w:hint="eastAsia" w:ascii="方正小标宋简体" w:hAnsi="方正小标宋简体" w:eastAsia="方正小标宋简体" w:cs="Times New Roman"/>
          <w:color w:val="auto"/>
          <w:kern w:val="2"/>
          <w:sz w:val="44"/>
          <w:szCs w:val="22"/>
        </w:rPr>
        <w:t>年度鄂尔多斯空港物流园区管理</w:t>
      </w:r>
    </w:p>
    <w:p>
      <w:pPr>
        <w:keepNext/>
        <w:keepLines/>
        <w:tabs>
          <w:tab w:val="left" w:pos="6669"/>
        </w:tabs>
        <w:autoSpaceDE w:val="0"/>
        <w:autoSpaceDN w:val="0"/>
        <w:adjustRightInd w:val="0"/>
        <w:spacing w:beforeLines="0" w:afterLines="0"/>
        <w:ind w:left="198"/>
        <w:jc w:val="center"/>
        <w:rPr>
          <w:rFonts w:hint="eastAsia" w:ascii="方正小标宋简体" w:hAnsi="方正小标宋简体" w:eastAsia="方正小标宋简体" w:cs="Times New Roman"/>
          <w:color w:val="auto"/>
          <w:kern w:val="2"/>
          <w:sz w:val="44"/>
          <w:szCs w:val="22"/>
          <w:lang w:val="en-US" w:eastAsia="zh-CN"/>
        </w:rPr>
      </w:pPr>
      <w:r>
        <w:rPr>
          <w:rFonts w:hint="eastAsia" w:ascii="方正小标宋简体" w:hAnsi="方正小标宋简体" w:eastAsia="方正小标宋简体" w:cs="Times New Roman"/>
          <w:color w:val="auto"/>
          <w:kern w:val="2"/>
          <w:sz w:val="44"/>
          <w:szCs w:val="22"/>
        </w:rPr>
        <w:t>委员会部门公开</w:t>
      </w:r>
      <w:r>
        <w:rPr>
          <w:rFonts w:hint="eastAsia" w:ascii="方正小标宋简体" w:hAnsi="方正小标宋简体" w:eastAsia="方正小标宋简体" w:cs="Times New Roman"/>
          <w:color w:val="auto"/>
          <w:kern w:val="2"/>
          <w:sz w:val="44"/>
          <w:szCs w:val="22"/>
          <w:lang w:val="en-US" w:eastAsia="zh-CN"/>
        </w:rPr>
        <w:t>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ind w:firstLine="2240" w:firstLineChars="7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部门名称：鄂尔多斯空港物流园区管理委员会部门</w:t>
      </w:r>
    </w:p>
    <w:p>
      <w:pPr>
        <w:spacing w:line="360" w:lineRule="auto"/>
        <w:ind w:firstLine="2240" w:firstLineChars="700"/>
        <w:jc w:val="left"/>
        <w:rPr>
          <w:rFonts w:hint="eastAsia" w:ascii="仿宋_GB2312" w:hAnsi="仿宋_GB2312" w:eastAsia="仿宋_GB2312" w:cs="仿宋_GB2312"/>
          <w:color w:val="000000" w:themeColor="text1"/>
          <w:sz w:val="32"/>
          <w:szCs w:val="32"/>
          <w:lang w:eastAsia="zh-CN"/>
        </w:rPr>
      </w:pPr>
      <w:r>
        <w:rPr>
          <w:rFonts w:hint="eastAsia" w:ascii="仿宋_GB2312" w:hAnsi="仿宋_GB2312" w:eastAsia="仿宋_GB2312" w:cs="仿宋_GB2312"/>
          <w:color w:val="000000" w:themeColor="text1"/>
          <w:sz w:val="32"/>
          <w:szCs w:val="32"/>
        </w:rPr>
        <w:t>单位负责人：</w:t>
      </w:r>
      <w:r>
        <w:rPr>
          <w:rFonts w:hint="eastAsia" w:ascii="仿宋_GB2312" w:hAnsi="仿宋_GB2312" w:eastAsia="仿宋_GB2312" w:cs="仿宋_GB2312"/>
          <w:color w:val="000000" w:themeColor="text1"/>
          <w:sz w:val="32"/>
          <w:szCs w:val="32"/>
          <w:lang w:val="en-US" w:eastAsia="zh-CN"/>
        </w:rPr>
        <w:t>丁向明</w:t>
      </w:r>
    </w:p>
    <w:p>
      <w:pPr>
        <w:spacing w:line="360" w:lineRule="auto"/>
        <w:ind w:firstLine="2240" w:firstLineChars="7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财务负责人：辛鹏飞</w:t>
      </w:r>
    </w:p>
    <w:p>
      <w:pPr>
        <w:spacing w:line="360" w:lineRule="auto"/>
        <w:ind w:firstLine="2240" w:firstLineChars="7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编制人：张宏斌</w:t>
      </w:r>
    </w:p>
    <w:p>
      <w:pPr>
        <w:spacing w:line="360" w:lineRule="auto"/>
        <w:ind w:firstLine="2240" w:firstLineChars="7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报送日期：202</w:t>
      </w:r>
      <w:r>
        <w:rPr>
          <w:rFonts w:hint="eastAsia" w:ascii="仿宋_GB2312" w:hAnsi="仿宋_GB2312" w:eastAsia="仿宋_GB2312" w:cs="仿宋_GB2312"/>
          <w:color w:val="000000" w:themeColor="text1"/>
          <w:sz w:val="32"/>
          <w:szCs w:val="32"/>
          <w:lang w:val="en-US" w:eastAsia="zh-CN"/>
        </w:rPr>
        <w:t>5</w:t>
      </w:r>
      <w:r>
        <w:rPr>
          <w:rFonts w:hint="eastAsia" w:ascii="仿宋_GB2312" w:hAnsi="仿宋_GB2312" w:eastAsia="仿宋_GB2312" w:cs="仿宋_GB2312"/>
          <w:color w:val="000000" w:themeColor="text1"/>
          <w:sz w:val="32"/>
          <w:szCs w:val="32"/>
        </w:rPr>
        <w:t>年9月</w:t>
      </w:r>
    </w:p>
    <w:p>
      <w:pPr>
        <w:ind w:firstLine="2249" w:firstLineChars="700"/>
        <w:rPr>
          <w:rFonts w:hint="eastAsia" w:ascii="黑体" w:hAnsi="黑体" w:eastAsia="黑体" w:cs="黑体"/>
          <w:b/>
          <w:bCs/>
          <w:color w:val="000000" w:themeColor="text1"/>
          <w:sz w:val="32"/>
          <w:szCs w:val="32"/>
        </w:rPr>
        <w:sectPr>
          <w:footerReference r:id="rId3" w:type="default"/>
          <w:pgSz w:w="11906" w:h="16838"/>
          <w:pgMar w:top="1440" w:right="1083" w:bottom="1440" w:left="1083" w:header="0" w:footer="720" w:gutter="0"/>
          <w:cols w:space="425" w:num="1"/>
          <w:docGrid w:type="lines" w:linePitch="312" w:charSpace="0"/>
        </w:sectPr>
      </w:pPr>
    </w:p>
    <w:p>
      <w:pPr>
        <w:widowControl/>
        <w:spacing w:after="240"/>
        <w:jc w:val="center"/>
        <w:rPr>
          <w:rFonts w:ascii="Times New Roman" w:hAnsi="Times New Roman" w:eastAsia="Times New Roman" w:cs="Times New Roman"/>
          <w:kern w:val="0"/>
          <w:sz w:val="24"/>
        </w:rPr>
      </w:pPr>
      <w:bookmarkStart w:id="0" w:name="a000"/>
      <w:r>
        <w:rPr>
          <w:rFonts w:hint="eastAsia" w:ascii="方正小标宋简体" w:hAnsi="方正小标宋简体" w:eastAsia="方正小标宋简体" w:cs="方正小标宋简体"/>
          <w:b w:val="0"/>
          <w:bCs w:val="0"/>
          <w:kern w:val="0"/>
          <w:sz w:val="44"/>
          <w:szCs w:val="44"/>
        </w:rPr>
        <w:t>目 录</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第一部分 部门概况</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一、</w:t>
      </w:r>
      <w:r>
        <w:rPr>
          <w:rFonts w:hint="eastAsia" w:ascii="仿宋_GB2312" w:hAnsi="仿宋_GB2312" w:eastAsia="仿宋_GB2312" w:cs="仿宋_GB2312"/>
          <w:kern w:val="0"/>
          <w:sz w:val="32"/>
          <w:szCs w:val="32"/>
        </w:rPr>
        <w:t>主要职能、职责</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二、部门机构设置及决算单位构成情况</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年度部门主要工作完成情况</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第二部分 部门决算情况说明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一、收入支出决算总体情况说明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二、收入决算情况说明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四、财政拨款收入支出决算总体情况说明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六、一般公共预算财政拨款基本支出决算情况说明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七、一般公共预算财政拨款项目支出决算情况说明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八、财政拨款“三公”经费支出决算情况说明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九、政府性基金预算财政拨款支出决算情况说明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十、国有资本经营预算财政拨款支出决算情况说明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十一、机构运行经费支出决算情况说明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十二、政府采购支出决算情况说明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十三、国有资产占用情况说明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十四、预算绩效情况说明</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第三部分 名词解释</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第四部分 决算公开联系方式及信息反馈渠道</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黑体" w:hAnsi="黑体" w:eastAsia="黑体" w:cs="黑体"/>
          <w:kern w:val="0"/>
          <w:sz w:val="32"/>
          <w:szCs w:val="32"/>
        </w:rPr>
      </w:pPr>
      <w:r>
        <w:rPr>
          <w:rFonts w:hint="eastAsia" w:ascii="黑体" w:hAnsi="黑体" w:eastAsia="黑体" w:cs="黑体"/>
          <w:kern w:val="0"/>
          <w:sz w:val="32"/>
          <w:szCs w:val="32"/>
        </w:rPr>
        <w:t>第五部分 部门决算表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一、收入支出决算总表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二、收入决算表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四、财政拨款收入支出决算总表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五、一般公共预算财政拨款支出决算表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六、一般公共预算财政拨款基本支出决算明细表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七、一般公共预算财政拨款项目支出决算明细表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八、政府性基金预算财政拨款收入支出决算表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九、国有资本经营预算财政拨款支出决算表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十、财政拨款“三公”经费支出决算表</w:t>
      </w:r>
    </w:p>
    <w:p>
      <w:pPr>
        <w:keepNext w:val="0"/>
        <w:keepLines w:val="0"/>
        <w:pageBreakBefore w:val="0"/>
        <w:widowControl/>
        <w:kinsoku/>
        <w:wordWrap/>
        <w:overflowPunct/>
        <w:topLinePunct w:val="0"/>
        <w:autoSpaceDE/>
        <w:autoSpaceDN/>
        <w:bidi w:val="0"/>
        <w:adjustRightInd/>
        <w:snapToGrid/>
        <w:spacing w:before="240" w:after="240" w:line="560" w:lineRule="exact"/>
        <w:jc w:val="left"/>
        <w:textAlignment w:val="auto"/>
        <w:rPr>
          <w:rFonts w:ascii="fang_zheng_xiao_biao_song_ti" w:hAnsi="fang_zheng_xiao_biao_song_ti" w:eastAsia="fang_zheng_xiao_biao_song_ti" w:cs="fang_zheng_xiao_biao_song_ti"/>
          <w:b/>
          <w:bCs/>
          <w:color w:val="000000"/>
          <w:kern w:val="0"/>
          <w:sz w:val="36"/>
          <w:szCs w:val="36"/>
        </w:rPr>
      </w:pPr>
      <w:r>
        <w:rPr>
          <w:rFonts w:hint="eastAsia" w:ascii="仿宋_GB2312" w:hAnsi="仿宋_GB2312" w:eastAsia="仿宋_GB2312" w:cs="仿宋_GB2312"/>
          <w:kern w:val="0"/>
          <w:sz w:val="32"/>
          <w:szCs w:val="32"/>
        </w:rPr>
        <w:t>十一、机构运行经费支出、国有资产占用情况及政府采购支出信息表</w:t>
      </w:r>
    </w:p>
    <w:p>
      <w:pPr>
        <w:pageBreakBefore w:val="0"/>
        <w:widowControl/>
        <w:kinsoku/>
        <w:wordWrap/>
        <w:overflowPunct/>
        <w:topLinePunct w:val="0"/>
        <w:autoSpaceDE/>
        <w:autoSpaceDN/>
        <w:bidi w:val="0"/>
        <w:adjustRightInd/>
        <w:snapToGrid/>
        <w:spacing w:before="240" w:after="240" w:line="520" w:lineRule="exact"/>
        <w:ind w:firstLine="440" w:firstLineChars="100"/>
        <w:jc w:val="center"/>
        <w:rPr>
          <w:rFonts w:hint="eastAsia" w:ascii="方正小标宋简体" w:hAnsi="方正小标宋简体" w:eastAsia="方正小标宋简体" w:cs="方正小标宋简体"/>
          <w:b w:val="0"/>
          <w:bCs w:val="0"/>
          <w:color w:val="000000"/>
          <w:kern w:val="0"/>
          <w:sz w:val="44"/>
          <w:szCs w:val="44"/>
        </w:rPr>
      </w:pPr>
      <w:r>
        <w:rPr>
          <w:rFonts w:hint="eastAsia" w:ascii="方正小标宋简体" w:hAnsi="方正小标宋简体" w:eastAsia="方正小标宋简体" w:cs="方正小标宋简体"/>
          <w:b w:val="0"/>
          <w:bCs w:val="0"/>
          <w:color w:val="000000"/>
          <w:kern w:val="0"/>
          <w:sz w:val="44"/>
          <w:szCs w:val="44"/>
        </w:rPr>
        <w:t>第一部分 部门概况</w:t>
      </w:r>
    </w:p>
    <w:p>
      <w:pPr>
        <w:pageBreakBefore w:val="0"/>
        <w:widowControl/>
        <w:kinsoku/>
        <w:wordWrap/>
        <w:overflowPunct/>
        <w:topLinePunct w:val="0"/>
        <w:autoSpaceDE/>
        <w:autoSpaceDN/>
        <w:bidi w:val="0"/>
        <w:adjustRightInd/>
        <w:snapToGrid/>
        <w:spacing w:before="240" w:after="240" w:line="520" w:lineRule="exact"/>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val="0"/>
          <w:bCs w:val="0"/>
          <w:kern w:val="0"/>
          <w:sz w:val="27"/>
          <w:szCs w:val="27"/>
        </w:rPr>
        <w:t> </w:t>
      </w:r>
      <w:r>
        <w:rPr>
          <w:rFonts w:ascii="黑体" w:hAnsi="黑体" w:eastAsia="黑体" w:cs="黑体"/>
          <w:b w:val="0"/>
          <w:bCs w:val="0"/>
          <w:kern w:val="0"/>
          <w:sz w:val="27"/>
          <w:szCs w:val="27"/>
        </w:rPr>
        <w:t xml:space="preserve"> 一、主要职能、职责</w:t>
      </w:r>
    </w:p>
    <w:p>
      <w:pPr>
        <w:keepNext w:val="0"/>
        <w:keepLines w:val="0"/>
        <w:pageBreakBefore w:val="0"/>
        <w:widowControl/>
        <w:kinsoku/>
        <w:wordWrap/>
        <w:overflowPunct/>
        <w:topLinePunct w:val="0"/>
        <w:autoSpaceDE/>
        <w:autoSpaceDN/>
        <w:bidi w:val="0"/>
        <w:adjustRightInd/>
        <w:snapToGrid/>
        <w:spacing w:before="240" w:after="240" w:line="520" w:lineRule="exact"/>
        <w:textAlignment w:val="auto"/>
        <w:rPr>
          <w:rFonts w:hint="eastAsia" w:ascii="仿宋_GB2312" w:hAnsi="仿宋_GB2312" w:eastAsia="仿宋_GB2312" w:cs="仿宋_GB2312"/>
          <w:kern w:val="0"/>
          <w:sz w:val="32"/>
          <w:szCs w:val="32"/>
        </w:rPr>
      </w:pPr>
      <w:r>
        <w:rPr>
          <w:rFonts w:ascii="fang_song_gb2312" w:hAnsi="fang_song_gb2312" w:eastAsia="fang_song_gb2312" w:cs="fang_song_gb2312"/>
          <w:color w:val="0E00FE"/>
          <w:kern w:val="0"/>
          <w:sz w:val="27"/>
          <w:szCs w:val="27"/>
        </w:rPr>
        <w:t xml:space="preserve">  </w:t>
      </w:r>
      <w:r>
        <w:rPr>
          <w:rFonts w:hint="eastAsia" w:ascii="仿宋_GB2312" w:hAnsi="仿宋_GB2312" w:eastAsia="仿宋_GB2312" w:cs="仿宋_GB2312"/>
          <w:color w:val="0E00FE"/>
          <w:kern w:val="0"/>
          <w:sz w:val="32"/>
          <w:szCs w:val="32"/>
        </w:rPr>
        <w:t> </w:t>
      </w:r>
      <w:r>
        <w:rPr>
          <w:rFonts w:hint="eastAsia" w:ascii="仿宋_GB2312" w:hAnsi="仿宋_GB2312" w:eastAsia="仿宋_GB2312" w:cs="仿宋_GB2312"/>
          <w:kern w:val="0"/>
          <w:sz w:val="32"/>
          <w:szCs w:val="32"/>
        </w:rPr>
        <w:t>（一）贯彻执行国家、自治区有关法律、法规、行政规章和市有关政策决定；根据国家、自治区有关法律、法规和市 旗有关政策规定，制定园区管理办法。</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（二）负责制定园区经济发展规划、年度计划并组织实施。</w:t>
      </w:r>
    </w:p>
    <w:p>
      <w:pPr>
        <w:keepNext w:val="0"/>
        <w:keepLines w:val="0"/>
        <w:pageBreakBefore w:val="0"/>
        <w:widowControl/>
        <w:kinsoku/>
        <w:wordWrap/>
        <w:overflowPunct/>
        <w:topLinePunct w:val="0"/>
        <w:autoSpaceDE/>
        <w:autoSpaceDN/>
        <w:bidi w:val="0"/>
        <w:adjustRightInd/>
        <w:snapToGrid/>
        <w:spacing w:before="240" w:after="240" w:line="520" w:lineRule="exact"/>
        <w:ind w:firstLine="320" w:firstLineChars="1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（三）按照权限负责园区财政运行管理；协调园区税收收入 的收缴、划转、清算等业务。</w:t>
      </w:r>
    </w:p>
    <w:p>
      <w:pPr>
        <w:pageBreakBefore w:val="0"/>
        <w:widowControl/>
        <w:kinsoku/>
        <w:wordWrap/>
        <w:overflowPunct/>
        <w:topLinePunct w:val="0"/>
        <w:autoSpaceDE/>
        <w:autoSpaceDN/>
        <w:bidi w:val="0"/>
        <w:adjustRightInd/>
        <w:snapToGrid/>
        <w:spacing w:before="240" w:after="240" w:line="520" w:lineRule="exact"/>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（四）按照权限，负责园区规划管理、基础设施建设、土地 开发利用等工作。根据授权和委托，在园区范围内行使市 级规划管理审批、项目核准备案、土地管理、招投标、环 保管理、林业行政审批、水务管理等权限。</w:t>
      </w:r>
    </w:p>
    <w:p>
      <w:pPr>
        <w:pageBreakBefore w:val="0"/>
        <w:widowControl/>
        <w:kinsoku/>
        <w:wordWrap/>
        <w:overflowPunct/>
        <w:topLinePunct w:val="0"/>
        <w:autoSpaceDE/>
        <w:autoSpaceDN/>
        <w:bidi w:val="0"/>
        <w:adjustRightInd/>
        <w:snapToGrid/>
        <w:spacing w:before="240" w:after="240" w:line="520" w:lineRule="exact"/>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（五）负责园区的招商引资，项目申报审批工作；负责组织 项目投资洽谈、咨询和协调服务，组织和监督各类开发建 设项目的实施。</w:t>
      </w:r>
    </w:p>
    <w:p>
      <w:pPr>
        <w:pageBreakBefore w:val="0"/>
        <w:widowControl/>
        <w:kinsoku/>
        <w:wordWrap/>
        <w:overflowPunct/>
        <w:topLinePunct w:val="0"/>
        <w:autoSpaceDE/>
        <w:autoSpaceDN/>
        <w:bidi w:val="0"/>
        <w:adjustRightInd/>
        <w:snapToGrid/>
        <w:spacing w:before="240" w:after="240" w:line="520" w:lineRule="exact"/>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（六）负责园区内的安全生产、环境保护工作。</w:t>
      </w:r>
    </w:p>
    <w:p>
      <w:pPr>
        <w:pageBreakBefore w:val="0"/>
        <w:widowControl/>
        <w:kinsoku/>
        <w:wordWrap/>
        <w:overflowPunct/>
        <w:topLinePunct w:val="0"/>
        <w:autoSpaceDE/>
        <w:autoSpaceDN/>
        <w:bidi w:val="0"/>
        <w:adjustRightInd/>
        <w:snapToGrid/>
        <w:spacing w:before="240" w:after="240" w:line="520" w:lineRule="exact"/>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（七）协调、指导有关部门设在园区内的派出机构或者分支 机构，协调企业与有关部门的关系，解决园区建设管理中 的矛盾和争议，处理园区有关涉外事务。</w:t>
      </w:r>
    </w:p>
    <w:p>
      <w:pPr>
        <w:pageBreakBefore w:val="0"/>
        <w:widowControl/>
        <w:kinsoku/>
        <w:wordWrap/>
        <w:overflowPunct/>
        <w:topLinePunct w:val="0"/>
        <w:autoSpaceDE/>
        <w:autoSpaceDN/>
        <w:bidi w:val="0"/>
        <w:adjustRightInd/>
        <w:snapToGrid/>
        <w:spacing w:before="240" w:after="240" w:line="520" w:lineRule="exact"/>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（八）负责园区干部和人事管理工作。</w:t>
      </w:r>
    </w:p>
    <w:p>
      <w:pPr>
        <w:pageBreakBefore w:val="0"/>
        <w:widowControl/>
        <w:kinsoku/>
        <w:wordWrap/>
        <w:overflowPunct/>
        <w:topLinePunct w:val="0"/>
        <w:autoSpaceDE/>
        <w:autoSpaceDN/>
        <w:bidi w:val="0"/>
        <w:adjustRightInd/>
        <w:snapToGrid/>
        <w:spacing w:before="240" w:after="240" w:line="520" w:lineRule="exact"/>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（九）负责园区党的建设工作和信访维稳工作。</w:t>
      </w:r>
    </w:p>
    <w:p>
      <w:pPr>
        <w:pageBreakBefore w:val="0"/>
        <w:widowControl/>
        <w:kinsoku/>
        <w:wordWrap/>
        <w:overflowPunct/>
        <w:topLinePunct w:val="0"/>
        <w:autoSpaceDE/>
        <w:autoSpaceDN/>
        <w:bidi w:val="0"/>
        <w:adjustRightInd/>
        <w:snapToGrid/>
        <w:spacing w:before="240" w:after="240" w:line="520" w:lineRule="exact"/>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（十）负责园区社会事业管理工作。</w:t>
      </w:r>
    </w:p>
    <w:p>
      <w:pPr>
        <w:pageBreakBefore w:val="0"/>
        <w:widowControl/>
        <w:kinsoku/>
        <w:wordWrap/>
        <w:overflowPunct/>
        <w:topLinePunct w:val="0"/>
        <w:autoSpaceDE/>
        <w:autoSpaceDN/>
        <w:bidi w:val="0"/>
        <w:adjustRightInd/>
        <w:snapToGrid/>
        <w:spacing w:before="240" w:after="240" w:line="520" w:lineRule="exact"/>
        <w:ind w:firstLine="320" w:firstLineChars="1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（十一）完成上级党委、政府交办的其他事项。</w:t>
      </w:r>
    </w:p>
    <w:p>
      <w:pPr>
        <w:pageBreakBefore w:val="0"/>
        <w:widowControl/>
        <w:kinsoku/>
        <w:wordWrap/>
        <w:overflowPunct/>
        <w:topLinePunct w:val="0"/>
        <w:autoSpaceDE/>
        <w:autoSpaceDN/>
        <w:bidi w:val="0"/>
        <w:adjustRightInd/>
        <w:snapToGrid/>
        <w:spacing w:before="240" w:after="240" w:line="520" w:lineRule="exact"/>
        <w:jc w:val="left"/>
        <w:rPr>
          <w:rFonts w:ascii="Times New Roman" w:hAnsi="Times New Roman" w:eastAsia="Times New Roman" w:cs="Times New Roman"/>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val="0"/>
          <w:bCs w:val="0"/>
          <w:kern w:val="0"/>
          <w:sz w:val="32"/>
          <w:szCs w:val="32"/>
        </w:rPr>
        <w:t> </w:t>
      </w:r>
      <w:r>
        <w:rPr>
          <w:rFonts w:ascii="黑体" w:hAnsi="黑体" w:eastAsia="黑体" w:cs="黑体"/>
          <w:b w:val="0"/>
          <w:bCs w:val="0"/>
          <w:kern w:val="0"/>
          <w:sz w:val="32"/>
          <w:szCs w:val="32"/>
        </w:rPr>
        <w:t xml:space="preserve"> 二、部门机构设置及决算单位构成情况</w:t>
      </w:r>
    </w:p>
    <w:p>
      <w:pPr>
        <w:pageBreakBefore w:val="0"/>
        <w:widowControl/>
        <w:kinsoku/>
        <w:wordWrap/>
        <w:overflowPunct/>
        <w:topLinePunct w:val="0"/>
        <w:autoSpaceDE/>
        <w:autoSpaceDN/>
        <w:bidi w:val="0"/>
        <w:adjustRightInd/>
        <w:snapToGrid/>
        <w:spacing w:before="240" w:after="240" w:line="520" w:lineRule="exact"/>
        <w:ind w:firstLine="49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1.根据部门职责分工，本部门</w:t>
      </w:r>
      <w:r>
        <w:rPr>
          <w:rFonts w:hint="eastAsia" w:ascii="仿宋_GB2312" w:hAnsi="仿宋_GB2312" w:eastAsia="仿宋_GB2312" w:cs="仿宋_GB2312"/>
          <w:kern w:val="0"/>
          <w:sz w:val="32"/>
          <w:szCs w:val="32"/>
          <w:lang w:val="en-US" w:eastAsia="zh-CN"/>
        </w:rPr>
        <w:t>无内</w:t>
      </w:r>
      <w:r>
        <w:rPr>
          <w:rFonts w:hint="eastAsia" w:ascii="仿宋_GB2312" w:hAnsi="仿宋_GB2312" w:eastAsia="仿宋_GB2312" w:cs="仿宋_GB2312"/>
          <w:kern w:val="0"/>
          <w:sz w:val="32"/>
          <w:szCs w:val="32"/>
        </w:rPr>
        <w:t>设机构</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本部门下属单位包括：鄂尔多斯空港物流园区管理委员会</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鄂尔多斯空港物流园区企业发展服务中心</w:t>
      </w:r>
      <w:r>
        <w:rPr>
          <w:rFonts w:hint="eastAsia" w:ascii="仿宋_GB2312" w:hAnsi="仿宋_GB2312" w:eastAsia="仿宋_GB2312" w:cs="仿宋_GB2312"/>
          <w:kern w:val="0"/>
          <w:sz w:val="32"/>
          <w:szCs w:val="32"/>
          <w:lang w:val="en-US" w:eastAsia="zh-CN"/>
        </w:rPr>
        <w:t>和鄂尔多斯空港物流园区招商和科技人才服务中心</w:t>
      </w:r>
      <w:r>
        <w:rPr>
          <w:rFonts w:hint="eastAsia" w:ascii="仿宋_GB2312" w:hAnsi="仿宋_GB2312" w:eastAsia="仿宋_GB2312" w:cs="仿宋_GB2312"/>
          <w:kern w:val="0"/>
          <w:sz w:val="32"/>
          <w:szCs w:val="32"/>
        </w:rPr>
        <w:t>。</w:t>
      </w:r>
    </w:p>
    <w:p>
      <w:pPr>
        <w:pageBreakBefore w:val="0"/>
        <w:widowControl/>
        <w:kinsoku/>
        <w:wordWrap/>
        <w:overflowPunct/>
        <w:topLinePunct w:val="0"/>
        <w:autoSpaceDE/>
        <w:autoSpaceDN/>
        <w:bidi w:val="0"/>
        <w:adjustRightInd/>
        <w:snapToGrid/>
        <w:spacing w:before="240" w:after="240" w:line="520" w:lineRule="exact"/>
        <w:ind w:firstLine="49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2.</w:t>
      </w:r>
      <w:r>
        <w:rPr>
          <w:rFonts w:hint="eastAsia" w:ascii="仿宋_GB2312" w:hAnsi="仿宋_GB2312" w:eastAsia="仿宋_GB2312" w:cs="仿宋_GB2312"/>
          <w:kern w:val="0"/>
          <w:sz w:val="32"/>
          <w:szCs w:val="32"/>
          <w:u w:val="none"/>
        </w:rPr>
        <w:t>从决算单位构成看，纳入本财政汇总决算编制范围的预算单位共计</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家，具体包括：鄂尔多斯空港物流园区管理委员会</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鄂尔多斯空港物流园区企业发展服务中心</w:t>
      </w:r>
      <w:r>
        <w:rPr>
          <w:rFonts w:hint="eastAsia" w:ascii="仿宋_GB2312" w:hAnsi="仿宋_GB2312" w:eastAsia="仿宋_GB2312" w:cs="仿宋_GB2312"/>
          <w:kern w:val="0"/>
          <w:sz w:val="32"/>
          <w:szCs w:val="32"/>
          <w:u w:val="none"/>
          <w:lang w:val="en-US" w:eastAsia="zh-CN"/>
        </w:rPr>
        <w:t>和鄂尔多斯空港物流园区招商和科技人才服务中心</w:t>
      </w:r>
      <w:r>
        <w:rPr>
          <w:rFonts w:hint="eastAsia" w:ascii="仿宋_GB2312" w:hAnsi="仿宋_GB2312" w:eastAsia="仿宋_GB2312" w:cs="仿宋_GB2312"/>
          <w:kern w:val="0"/>
          <w:sz w:val="32"/>
          <w:szCs w:val="32"/>
          <w:u w:val="none"/>
        </w:rPr>
        <w:t>。详细情况见表：</w:t>
      </w:r>
    </w:p>
    <w:tbl>
      <w:tblPr>
        <w:tblStyle w:val="19"/>
        <w:tblW w:w="9060" w:type="dxa"/>
        <w:jc w:val="center"/>
        <w:tblInd w:w="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745"/>
        <w:gridCol w:w="4178"/>
        <w:gridCol w:w="4137"/>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Ex>
        <w:trPr>
          <w:trHeight w:val="522" w:hRule="atLeast"/>
          <w:tblHeader/>
          <w:jc w:val="center"/>
        </w:trPr>
        <w:tc>
          <w:tcPr>
            <w:tcW w:w="745" w:type="dxa"/>
            <w:tcBorders>
              <w:bottom w:val="inset" w:color="808080" w:sz="6" w:space="0"/>
              <w:right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line="520" w:lineRule="exact"/>
              <w:jc w:val="center"/>
              <w:rPr>
                <w:rFonts w:hint="eastAsia" w:ascii="仿宋_GB2312" w:hAnsi="仿宋_GB2312" w:eastAsia="仿宋_GB2312" w:cs="仿宋_GB2312"/>
                <w:b w:val="0"/>
                <w:bCs w:val="0"/>
                <w:i w:val="0"/>
                <w:iCs w:val="0"/>
                <w:smallCaps w:val="0"/>
                <w:color w:val="000000"/>
                <w:kern w:val="0"/>
                <w:sz w:val="32"/>
                <w:szCs w:val="32"/>
              </w:rPr>
            </w:pPr>
            <w:r>
              <w:rPr>
                <w:rFonts w:hint="eastAsia" w:ascii="仿宋_GB2312" w:hAnsi="仿宋_GB2312" w:eastAsia="仿宋_GB2312" w:cs="仿宋_GB2312"/>
                <w:b w:val="0"/>
                <w:bCs w:val="0"/>
                <w:i w:val="0"/>
                <w:iCs w:val="0"/>
                <w:smallCaps w:val="0"/>
                <w:color w:val="000000"/>
                <w:kern w:val="0"/>
                <w:sz w:val="32"/>
                <w:szCs w:val="32"/>
              </w:rPr>
              <w:t>序号</w:t>
            </w:r>
          </w:p>
        </w:tc>
        <w:tc>
          <w:tcPr>
            <w:tcW w:w="4178" w:type="dxa"/>
            <w:tcBorders>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line="520" w:lineRule="exact"/>
              <w:jc w:val="center"/>
              <w:rPr>
                <w:rFonts w:hint="eastAsia" w:ascii="仿宋_GB2312" w:hAnsi="仿宋_GB2312" w:eastAsia="仿宋_GB2312" w:cs="仿宋_GB2312"/>
                <w:b w:val="0"/>
                <w:bCs w:val="0"/>
                <w:i w:val="0"/>
                <w:iCs w:val="0"/>
                <w:smallCaps w:val="0"/>
                <w:color w:val="000000"/>
                <w:kern w:val="0"/>
                <w:sz w:val="32"/>
                <w:szCs w:val="32"/>
              </w:rPr>
            </w:pPr>
            <w:r>
              <w:rPr>
                <w:rFonts w:hint="eastAsia" w:ascii="仿宋_GB2312" w:hAnsi="仿宋_GB2312" w:eastAsia="仿宋_GB2312" w:cs="仿宋_GB2312"/>
                <w:b w:val="0"/>
                <w:bCs w:val="0"/>
                <w:i w:val="0"/>
                <w:iCs w:val="0"/>
                <w:smallCaps w:val="0"/>
                <w:color w:val="000000"/>
                <w:kern w:val="0"/>
                <w:sz w:val="32"/>
                <w:szCs w:val="32"/>
              </w:rPr>
              <w:t>单位名称</w:t>
            </w:r>
          </w:p>
        </w:tc>
        <w:tc>
          <w:tcPr>
            <w:tcW w:w="4137" w:type="dxa"/>
            <w:tcBorders>
              <w:left w:val="inset" w:color="808080" w:sz="6" w:space="0"/>
              <w:bottom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line="520" w:lineRule="exact"/>
              <w:jc w:val="center"/>
              <w:rPr>
                <w:rFonts w:hint="eastAsia" w:ascii="仿宋_GB2312" w:hAnsi="仿宋_GB2312" w:eastAsia="仿宋_GB2312" w:cs="仿宋_GB2312"/>
                <w:b w:val="0"/>
                <w:bCs w:val="0"/>
                <w:i w:val="0"/>
                <w:iCs w:val="0"/>
                <w:smallCaps w:val="0"/>
                <w:color w:val="000000"/>
                <w:kern w:val="0"/>
                <w:sz w:val="32"/>
                <w:szCs w:val="32"/>
              </w:rPr>
            </w:pPr>
            <w:r>
              <w:rPr>
                <w:rFonts w:hint="eastAsia" w:ascii="仿宋_GB2312" w:hAnsi="仿宋_GB2312" w:eastAsia="仿宋_GB2312" w:cs="仿宋_GB2312"/>
                <w:b w:val="0"/>
                <w:bCs w:val="0"/>
                <w:i w:val="0"/>
                <w:iCs w:val="0"/>
                <w:smallCaps w:val="0"/>
                <w:color w:val="000000"/>
                <w:kern w:val="0"/>
                <w:sz w:val="32"/>
                <w:szCs w:val="32"/>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Ex>
        <w:trPr>
          <w:trHeight w:val="1163" w:hRule="atLeast"/>
          <w:jc w:val="center"/>
        </w:trPr>
        <w:tc>
          <w:tcPr>
            <w:tcW w:w="745" w:type="dxa"/>
            <w:tcBorders>
              <w:top w:val="inset" w:color="808080" w:sz="6" w:space="0"/>
              <w:bottom w:val="inset" w:color="808080" w:sz="6" w:space="0"/>
              <w:right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line="520" w:lineRule="exact"/>
              <w:jc w:val="center"/>
              <w:rPr>
                <w:rFonts w:hint="eastAsia" w:ascii="仿宋_GB2312" w:hAnsi="仿宋_GB2312" w:eastAsia="仿宋_GB2312" w:cs="仿宋_GB2312"/>
                <w:b w:val="0"/>
                <w:bCs w:val="0"/>
                <w:i w:val="0"/>
                <w:iCs w:val="0"/>
                <w:smallCaps w:val="0"/>
                <w:color w:val="000000"/>
                <w:kern w:val="0"/>
                <w:sz w:val="32"/>
                <w:szCs w:val="32"/>
              </w:rPr>
            </w:pPr>
            <w:r>
              <w:rPr>
                <w:rFonts w:hint="eastAsia" w:ascii="仿宋_GB2312" w:hAnsi="仿宋_GB2312" w:eastAsia="仿宋_GB2312" w:cs="仿宋_GB2312"/>
                <w:b w:val="0"/>
                <w:bCs w:val="0"/>
                <w:i w:val="0"/>
                <w:iCs w:val="0"/>
                <w:smallCaps w:val="0"/>
                <w:color w:val="000000"/>
                <w:kern w:val="0"/>
                <w:sz w:val="32"/>
                <w:szCs w:val="32"/>
              </w:rPr>
              <w:t>1</w:t>
            </w:r>
          </w:p>
        </w:tc>
        <w:tc>
          <w:tcPr>
            <w:tcW w:w="4178"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line="520" w:lineRule="exact"/>
              <w:jc w:val="left"/>
              <w:rPr>
                <w:rFonts w:hint="eastAsia" w:ascii="仿宋_GB2312" w:hAnsi="仿宋_GB2312" w:eastAsia="仿宋_GB2312" w:cs="仿宋_GB2312"/>
                <w:b w:val="0"/>
                <w:bCs w:val="0"/>
                <w:i w:val="0"/>
                <w:iCs w:val="0"/>
                <w:smallCaps w:val="0"/>
                <w:color w:val="000000"/>
                <w:kern w:val="0"/>
                <w:sz w:val="32"/>
                <w:szCs w:val="32"/>
              </w:rPr>
            </w:pPr>
            <w:r>
              <w:rPr>
                <w:rFonts w:hint="eastAsia" w:ascii="仿宋_GB2312" w:hAnsi="仿宋_GB2312" w:eastAsia="仿宋_GB2312" w:cs="仿宋_GB2312"/>
                <w:kern w:val="0"/>
                <w:sz w:val="32"/>
                <w:szCs w:val="32"/>
                <w:u w:val="none"/>
              </w:rPr>
              <w:t>鄂尔多斯空港物流园区管理委员会</w:t>
            </w:r>
          </w:p>
        </w:tc>
        <w:tc>
          <w:tcPr>
            <w:tcW w:w="4137" w:type="dxa"/>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line="520" w:lineRule="exact"/>
              <w:jc w:val="left"/>
              <w:rPr>
                <w:rFonts w:hint="eastAsia" w:ascii="仿宋_GB2312" w:hAnsi="仿宋_GB2312" w:eastAsia="仿宋_GB2312" w:cs="仿宋_GB2312"/>
                <w:b w:val="0"/>
                <w:bCs w:val="0"/>
                <w:i w:val="0"/>
                <w:iCs w:val="0"/>
                <w:smallCaps w:val="0"/>
                <w:color w:val="000000"/>
                <w:kern w:val="0"/>
                <w:sz w:val="32"/>
                <w:szCs w:val="32"/>
              </w:rPr>
            </w:pPr>
            <w:r>
              <w:rPr>
                <w:rFonts w:hint="eastAsia" w:ascii="仿宋_GB2312" w:hAnsi="仿宋_GB2312" w:eastAsia="仿宋_GB2312" w:cs="仿宋_GB2312"/>
                <w:b w:val="0"/>
                <w:bCs w:val="0"/>
                <w:i w:val="0"/>
                <w:iCs w:val="0"/>
                <w:smallCaps w:val="0"/>
                <w:color w:val="000000"/>
                <w:kern w:val="0"/>
                <w:sz w:val="32"/>
                <w:szCs w:val="32"/>
              </w:rPr>
              <w:t>财政拨款的行政单位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Ex>
        <w:trPr>
          <w:trHeight w:val="1163" w:hRule="atLeast"/>
          <w:jc w:val="center"/>
        </w:trPr>
        <w:tc>
          <w:tcPr>
            <w:tcW w:w="745" w:type="dxa"/>
            <w:tcBorders>
              <w:top w:val="inset" w:color="808080" w:sz="6" w:space="0"/>
              <w:bottom w:val="inset" w:color="808080" w:sz="6" w:space="0"/>
              <w:right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line="520" w:lineRule="exact"/>
              <w:jc w:val="center"/>
              <w:rPr>
                <w:rFonts w:hint="eastAsia" w:ascii="仿宋_GB2312" w:hAnsi="仿宋_GB2312" w:eastAsia="仿宋_GB2312" w:cs="仿宋_GB2312"/>
                <w:b w:val="0"/>
                <w:bCs w:val="0"/>
                <w:i w:val="0"/>
                <w:iCs w:val="0"/>
                <w:smallCaps w:val="0"/>
                <w:color w:val="000000"/>
                <w:kern w:val="0"/>
                <w:sz w:val="32"/>
                <w:szCs w:val="32"/>
              </w:rPr>
            </w:pPr>
            <w:r>
              <w:rPr>
                <w:rFonts w:hint="eastAsia" w:ascii="仿宋_GB2312" w:hAnsi="仿宋_GB2312" w:eastAsia="仿宋_GB2312" w:cs="仿宋_GB2312"/>
                <w:b w:val="0"/>
                <w:bCs w:val="0"/>
                <w:i w:val="0"/>
                <w:iCs w:val="0"/>
                <w:smallCaps w:val="0"/>
                <w:color w:val="000000"/>
                <w:kern w:val="0"/>
                <w:sz w:val="32"/>
                <w:szCs w:val="32"/>
              </w:rPr>
              <w:t>2</w:t>
            </w:r>
          </w:p>
        </w:tc>
        <w:tc>
          <w:tcPr>
            <w:tcW w:w="4178"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line="520" w:lineRule="exact"/>
              <w:jc w:val="left"/>
              <w:rPr>
                <w:rFonts w:hint="eastAsia" w:ascii="仿宋_GB2312" w:hAnsi="仿宋_GB2312" w:eastAsia="仿宋_GB2312" w:cs="仿宋_GB2312"/>
                <w:b w:val="0"/>
                <w:bCs w:val="0"/>
                <w:i w:val="0"/>
                <w:iCs w:val="0"/>
                <w:smallCaps w:val="0"/>
                <w:color w:val="000000"/>
                <w:kern w:val="0"/>
                <w:sz w:val="32"/>
                <w:szCs w:val="32"/>
              </w:rPr>
            </w:pPr>
            <w:r>
              <w:rPr>
                <w:rFonts w:hint="eastAsia" w:ascii="仿宋_GB2312" w:hAnsi="仿宋_GB2312" w:eastAsia="仿宋_GB2312" w:cs="仿宋_GB2312"/>
                <w:kern w:val="0"/>
                <w:sz w:val="32"/>
                <w:szCs w:val="32"/>
                <w:u w:val="none"/>
              </w:rPr>
              <w:t>鄂尔多斯空港物流园区企业发展服务中心</w:t>
            </w:r>
          </w:p>
        </w:tc>
        <w:tc>
          <w:tcPr>
            <w:tcW w:w="4137" w:type="dxa"/>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line="520" w:lineRule="exact"/>
              <w:jc w:val="left"/>
              <w:rPr>
                <w:rFonts w:hint="eastAsia" w:ascii="仿宋_GB2312" w:hAnsi="仿宋_GB2312" w:eastAsia="仿宋_GB2312" w:cs="仿宋_GB2312"/>
                <w:b w:val="0"/>
                <w:bCs w:val="0"/>
                <w:i w:val="0"/>
                <w:iCs w:val="0"/>
                <w:smallCaps w:val="0"/>
                <w:color w:val="000000"/>
                <w:kern w:val="0"/>
                <w:sz w:val="32"/>
                <w:szCs w:val="32"/>
              </w:rPr>
            </w:pPr>
            <w:r>
              <w:rPr>
                <w:rFonts w:hint="eastAsia" w:ascii="仿宋_GB2312" w:hAnsi="仿宋_GB2312" w:eastAsia="仿宋_GB2312" w:cs="仿宋_GB2312"/>
                <w:b w:val="0"/>
                <w:bCs w:val="0"/>
                <w:i w:val="0"/>
                <w:iCs w:val="0"/>
                <w:smallCaps w:val="0"/>
                <w:color w:val="000000"/>
                <w:kern w:val="0"/>
                <w:sz w:val="32"/>
                <w:szCs w:val="32"/>
              </w:rPr>
              <w:t>公益一类事业单位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Ex>
        <w:trPr>
          <w:trHeight w:val="1200" w:hRule="atLeast"/>
          <w:jc w:val="center"/>
        </w:trPr>
        <w:tc>
          <w:tcPr>
            <w:tcW w:w="745" w:type="dxa"/>
            <w:tcBorders>
              <w:top w:val="inset" w:color="808080" w:sz="6" w:space="0"/>
              <w:bottom w:val="inset" w:color="808080" w:sz="6" w:space="0"/>
              <w:right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line="520" w:lineRule="exact"/>
              <w:jc w:val="center"/>
              <w:rPr>
                <w:rFonts w:hint="eastAsia" w:ascii="仿宋_GB2312" w:hAnsi="仿宋_GB2312" w:eastAsia="仿宋_GB2312" w:cs="仿宋_GB2312"/>
                <w:b w:val="0"/>
                <w:bCs w:val="0"/>
                <w:i w:val="0"/>
                <w:iCs w:val="0"/>
                <w:smallCaps w:val="0"/>
                <w:color w:val="000000"/>
                <w:kern w:val="0"/>
                <w:sz w:val="32"/>
                <w:szCs w:val="32"/>
              </w:rPr>
            </w:pPr>
            <w:r>
              <w:rPr>
                <w:rFonts w:hint="eastAsia" w:ascii="仿宋_GB2312" w:hAnsi="仿宋_GB2312" w:eastAsia="仿宋_GB2312" w:cs="仿宋_GB2312"/>
                <w:b w:val="0"/>
                <w:bCs w:val="0"/>
                <w:i w:val="0"/>
                <w:iCs w:val="0"/>
                <w:smallCaps w:val="0"/>
                <w:color w:val="000000"/>
                <w:kern w:val="0"/>
                <w:sz w:val="32"/>
                <w:szCs w:val="32"/>
              </w:rPr>
              <w:t>3</w:t>
            </w:r>
          </w:p>
        </w:tc>
        <w:tc>
          <w:tcPr>
            <w:tcW w:w="4178"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line="520" w:lineRule="exact"/>
              <w:jc w:val="left"/>
              <w:rPr>
                <w:rFonts w:hint="eastAsia" w:ascii="仿宋_GB2312" w:hAnsi="仿宋_GB2312" w:eastAsia="仿宋_GB2312" w:cs="仿宋_GB2312"/>
                <w:b w:val="0"/>
                <w:bCs w:val="0"/>
                <w:i w:val="0"/>
                <w:iCs w:val="0"/>
                <w:smallCaps w:val="0"/>
                <w:color w:val="000000"/>
                <w:kern w:val="0"/>
                <w:sz w:val="32"/>
                <w:szCs w:val="32"/>
              </w:rPr>
            </w:pPr>
            <w:r>
              <w:rPr>
                <w:rFonts w:hint="eastAsia" w:ascii="仿宋_GB2312" w:hAnsi="仿宋_GB2312" w:eastAsia="仿宋_GB2312" w:cs="仿宋_GB2312"/>
                <w:kern w:val="0"/>
                <w:sz w:val="32"/>
                <w:szCs w:val="32"/>
                <w:u w:val="none"/>
                <w:lang w:val="en-US" w:eastAsia="zh-CN"/>
              </w:rPr>
              <w:t>鄂尔多斯空港物流园区招商和科技人才服务中心</w:t>
            </w:r>
          </w:p>
        </w:tc>
        <w:tc>
          <w:tcPr>
            <w:tcW w:w="4137" w:type="dxa"/>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pPr>
              <w:pageBreakBefore w:val="0"/>
              <w:widowControl/>
              <w:kinsoku/>
              <w:wordWrap/>
              <w:overflowPunct/>
              <w:topLinePunct w:val="0"/>
              <w:autoSpaceDE/>
              <w:autoSpaceDN/>
              <w:bidi w:val="0"/>
              <w:adjustRightInd/>
              <w:snapToGrid/>
              <w:spacing w:line="520" w:lineRule="exact"/>
              <w:jc w:val="left"/>
              <w:rPr>
                <w:rFonts w:hint="eastAsia" w:ascii="仿宋_GB2312" w:hAnsi="仿宋_GB2312" w:eastAsia="仿宋_GB2312" w:cs="仿宋_GB2312"/>
                <w:b w:val="0"/>
                <w:bCs w:val="0"/>
                <w:i w:val="0"/>
                <w:iCs w:val="0"/>
                <w:smallCaps w:val="0"/>
                <w:color w:val="000000"/>
                <w:kern w:val="0"/>
                <w:sz w:val="32"/>
                <w:szCs w:val="32"/>
              </w:rPr>
            </w:pPr>
            <w:r>
              <w:rPr>
                <w:rFonts w:hint="eastAsia" w:ascii="仿宋_GB2312" w:hAnsi="仿宋_GB2312" w:eastAsia="仿宋_GB2312" w:cs="仿宋_GB2312"/>
                <w:b w:val="0"/>
                <w:bCs w:val="0"/>
                <w:i w:val="0"/>
                <w:iCs w:val="0"/>
                <w:smallCaps w:val="0"/>
                <w:color w:val="000000"/>
                <w:kern w:val="0"/>
                <w:sz w:val="32"/>
                <w:szCs w:val="32"/>
              </w:rPr>
              <w:t>公益一类事业单位</w:t>
            </w:r>
          </w:p>
        </w:tc>
      </w:tr>
    </w:tbl>
    <w:p>
      <w:pPr>
        <w:pageBreakBefore w:val="0"/>
        <w:widowControl/>
        <w:kinsoku/>
        <w:wordWrap/>
        <w:overflowPunct/>
        <w:topLinePunct w:val="0"/>
        <w:autoSpaceDE/>
        <w:autoSpaceDN/>
        <w:bidi w:val="0"/>
        <w:adjustRightInd/>
        <w:snapToGrid/>
        <w:spacing w:before="240" w:after="240" w:line="520" w:lineRule="exact"/>
        <w:jc w:val="left"/>
        <w:rPr>
          <w:rFonts w:ascii="fang_song_gb2312" w:hAnsi="fang_song_gb2312" w:eastAsia="fang_song_gb2312" w:cs="fang_song_gb2312"/>
          <w:color w:val="0E00FE"/>
          <w:kern w:val="0"/>
          <w:sz w:val="27"/>
          <w:szCs w:val="27"/>
        </w:rPr>
      </w:pPr>
    </w:p>
    <w:p>
      <w:pPr>
        <w:pageBreakBefore w:val="0"/>
        <w:widowControl/>
        <w:kinsoku/>
        <w:wordWrap/>
        <w:overflowPunct/>
        <w:topLinePunct w:val="0"/>
        <w:autoSpaceDE/>
        <w:autoSpaceDN/>
        <w:bidi w:val="0"/>
        <w:adjustRightInd/>
        <w:snapToGrid/>
        <w:spacing w:before="240" w:after="240" w:line="520" w:lineRule="exact"/>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val="0"/>
          <w:bCs w:val="0"/>
          <w:kern w:val="0"/>
          <w:sz w:val="32"/>
          <w:szCs w:val="32"/>
        </w:rPr>
        <w:t> </w:t>
      </w:r>
      <w:r>
        <w:rPr>
          <w:rFonts w:ascii="黑体" w:hAnsi="黑体" w:eastAsia="黑体" w:cs="黑体"/>
          <w:b w:val="0"/>
          <w:bCs w:val="0"/>
          <w:kern w:val="0"/>
          <w:sz w:val="32"/>
          <w:szCs w:val="32"/>
        </w:rPr>
        <w:t xml:space="preserve"> 三、202</w:t>
      </w:r>
      <w:r>
        <w:rPr>
          <w:rFonts w:hint="eastAsia" w:ascii="黑体" w:hAnsi="黑体" w:eastAsia="黑体" w:cs="黑体"/>
          <w:b w:val="0"/>
          <w:bCs w:val="0"/>
          <w:kern w:val="0"/>
          <w:sz w:val="32"/>
          <w:szCs w:val="32"/>
          <w:lang w:val="en-US" w:eastAsia="zh-CN"/>
        </w:rPr>
        <w:t>4</w:t>
      </w:r>
      <w:r>
        <w:rPr>
          <w:rFonts w:ascii="黑体" w:hAnsi="黑体" w:eastAsia="黑体" w:cs="黑体"/>
          <w:b w:val="0"/>
          <w:bCs w:val="0"/>
          <w:kern w:val="0"/>
          <w:sz w:val="32"/>
          <w:szCs w:val="32"/>
        </w:rPr>
        <w:t>年度部门主要工作完成情况</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一）党建工作扎实有效。认真履行全面从严治党主体责任，党员干部坚持拥护“两个确立”、做到“两个维护”，“四个意识”更加牢固、“四个自信”更加坚定。推进党纪学习教育常态化制度化，开展读书会、研讨会、庭审会等专题学习教育22次。压实意识形态工作责任制，深入学习贯彻党的二十届三中全会精神14次。健全完善内控制度44项，初步形成制度管人、流程管事、纪律管权、文化管心、依法治园的机关文化。</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经济发展快中向好。开复工项目19个，开复工率91%，市级调度的6个项目全部开复工；完成投资10.25亿元，完成目标103%；完成产值12.11亿元，完成目标121%；进出口额45亿元,占全市41%。完成一般公共预算收入0.98亿元、政府性基金预算收入1.04亿元。争取上级资金1.83亿元。按期偿还债券本金3.05亿元、债券利息1.32亿元。</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三）产业培育卓有成效。完成园区产业规划修编及绿氢生态创新区产业空间布局规划编制。签约项目21个，完成目标105%，其中落地项目8个；签约资金58亿元，完成目标388%。新能源研究院一期项目当年建成投运并发布四项成果，并争取八个科技突围奖补项目。国家技术创新基地（氢能）标准验证中心（鄂尔多斯）暨绿色氢能关键装备实证研发中心已建成并开始实施检测。广东清能、海德氢能项目投产。培育国家高新技术企业2家，国家科技型中小企业6家，自治区专精特新企业1家、创新型中小企业2家，获批“鄂尔多斯空港物流园区（综合保税区）信息保税制造产业集群”“内蒙古自治区电子信息产业知识产权运营中心”。完成3000亩低空经济发展区规划编制，正在对接引进低空测试、无人机测试、航空培训贺华夏航空维修等低空产业项目8个。启动建设矿鸿产业园，15家企业即将入驻。物流集散中心建成投用，京东、顺丰、国能新朔等龙头企业已进驻运营。</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四）营商环境持续优化。深入开展助企纾困五大行动（惠企政策宣传、手续办理、融资服务、我为企业找订单、稳岗就业），成立政务服务工作站，按时办结服务企业事项219项。以“标准地+带方案”方式出让4宗土地，全区首例新型产业用地政策试点项目落户园区。优化营商环境考核进入全市开发区前三。</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五）对外开放格局加快构建。启动实施零碳服务贸易十大体系三年行动，建成综合保税区（杭州）飞地产业孵化中心；我市首列回程中欧班列顺利入区，首架进境水果全货机顺利入港；综保区铁路专用线接轨方案获呼铁局批复。荣获“2024中国最具投资潜力综合保税区”。</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六）基础配套日趋完善。物流集散中心及蒙发平行进口汽车物流配送中心等45万平米工业及仓储厂房基本建成，充分满足企业入驻需求。选址建设5个公共卫生间，智慧交通项目即将完工。完成园区Logo设计和35条道路命名。园区获批“伊金霍洛旗空港型自治区级物流枢纽”（自治区首家、目前唯一）。</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七）风险防范工作稳步推进。开展安全生产治本攻坚三年行动，统筹落实重塑“四个体系”“双归零十七条”等“四合一组合拳”，安全生产平稳有序。按期偿还债券本息4.37亿元，有效防范系统性风险。办理接诉即办工单360件，办结率94%。开展根治欠薪行动，排查化解欠薪案件5个，帮助574名农民工追要工资645万元。</w:t>
      </w:r>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第二部分  部门决算情况说明</w:t>
      </w:r>
    </w:p>
    <w:p>
      <w:pPr>
        <w:pageBreakBefore w:val="0"/>
        <w:widowControl/>
        <w:kinsoku/>
        <w:wordWrap/>
        <w:overflowPunct/>
        <w:topLinePunct w:val="0"/>
        <w:autoSpaceDE/>
        <w:autoSpaceDN/>
        <w:bidi w:val="0"/>
        <w:adjustRightInd/>
        <w:snapToGrid/>
        <w:spacing w:before="240" w:after="240" w:line="520" w:lineRule="exact"/>
        <w:jc w:val="left"/>
        <w:rPr>
          <w:rFonts w:ascii="Times New Roman" w:hAnsi="Times New Roman" w:eastAsia="Times New Roman" w:cs="Times New Roman"/>
          <w:b w:val="0"/>
          <w:bCs w:val="0"/>
          <w:kern w:val="0"/>
          <w:sz w:val="32"/>
          <w:szCs w:val="32"/>
        </w:rPr>
      </w:pPr>
      <w:r>
        <w:rPr>
          <w:rFonts w:ascii="Calibri" w:hAnsi="Calibri" w:eastAsia="Calibri" w:cs="Calibri"/>
          <w:b w:val="0"/>
          <w:bCs w:val="0"/>
          <w:kern w:val="0"/>
          <w:sz w:val="32"/>
          <w:szCs w:val="32"/>
        </w:rPr>
        <w:t> </w:t>
      </w:r>
      <w:r>
        <w:rPr>
          <w:rFonts w:ascii="黑体" w:hAnsi="黑体" w:eastAsia="黑体" w:cs="黑体"/>
          <w:b w:val="0"/>
          <w:bCs w:val="0"/>
          <w:kern w:val="0"/>
          <w:sz w:val="32"/>
          <w:szCs w:val="32"/>
        </w:rPr>
        <w:t xml:space="preserve"> </w:t>
      </w:r>
      <w:r>
        <w:rPr>
          <w:rFonts w:ascii="Calibri" w:hAnsi="Calibri" w:eastAsia="Calibri" w:cs="Calibri"/>
          <w:b w:val="0"/>
          <w:bCs w:val="0"/>
          <w:kern w:val="0"/>
          <w:sz w:val="32"/>
          <w:szCs w:val="32"/>
        </w:rPr>
        <w:t> </w:t>
      </w:r>
      <w:r>
        <w:rPr>
          <w:rFonts w:ascii="黑体" w:hAnsi="黑体" w:eastAsia="黑体" w:cs="黑体"/>
          <w:b w:val="0"/>
          <w:bCs w:val="0"/>
          <w:kern w:val="0"/>
          <w:sz w:val="32"/>
          <w:szCs w:val="32"/>
        </w:rPr>
        <w:t xml:space="preserve"> 一、收入支出决算总体情况说明</w:t>
      </w:r>
    </w:p>
    <w:p>
      <w:pPr>
        <w:pageBreakBefore w:val="0"/>
        <w:widowControl/>
        <w:kinsoku/>
        <w:wordWrap/>
        <w:overflowPunct/>
        <w:topLinePunct w:val="0"/>
        <w:autoSpaceDE/>
        <w:autoSpaceDN/>
        <w:bidi w:val="0"/>
        <w:adjustRightInd/>
        <w:snapToGrid/>
        <w:spacing w:before="240" w:after="240" w:line="520" w:lineRule="exact"/>
        <w:ind w:firstLine="640" w:firstLineChars="200"/>
        <w:jc w:val="left"/>
        <w:rPr>
          <w:rFonts w:hint="eastAsia" w:ascii="楷体_GB2312" w:hAnsi="楷体_GB2312" w:eastAsia="楷体_GB2312" w:cs="楷体_GB2312"/>
          <w:b/>
          <w:bCs/>
          <w:kern w:val="0"/>
          <w:sz w:val="27"/>
          <w:szCs w:val="27"/>
        </w:rPr>
      </w:pPr>
      <w:r>
        <w:rPr>
          <w:rFonts w:hint="eastAsia" w:ascii="仿宋_GB2312" w:hAnsi="仿宋_GB2312" w:eastAsia="仿宋_GB2312" w:cs="仿宋_GB2312"/>
          <w:kern w:val="0"/>
          <w:sz w:val="32"/>
          <w:szCs w:val="32"/>
          <w:u w:val="none"/>
        </w:rPr>
        <w:t>鄂尔多斯空港物流园区管理委员会部门2024年度收入、支出决算总计均为 20824.57万元。与年初预算相比，收、支总计各增加8494.77万元，增长68.90%，变动原因：</w:t>
      </w:r>
      <w:r>
        <w:rPr>
          <w:rFonts w:hint="eastAsia" w:ascii="仿宋_GB2312" w:hAnsi="仿宋_GB2312" w:eastAsia="仿宋_GB2312" w:cs="仿宋_GB2312"/>
          <w:kern w:val="0"/>
          <w:sz w:val="32"/>
          <w:szCs w:val="32"/>
          <w:lang w:val="en-US" w:eastAsia="zh-CN"/>
        </w:rPr>
        <w:t>主要为新增扫雪除冰车辆设备采购项目预算指标375.61万元、新增应急物资储备库二期建设资金项目预算指标4800万元、2024年第四批新增地方政府一般债券资金项目预算指标3600万元</w:t>
      </w:r>
      <w:r>
        <w:rPr>
          <w:rFonts w:hint="eastAsia" w:ascii="仿宋_GB2312" w:hAnsi="仿宋_GB2312" w:eastAsia="仿宋_GB2312" w:cs="仿宋_GB2312"/>
          <w:kern w:val="0"/>
          <w:sz w:val="32"/>
          <w:szCs w:val="32"/>
          <w:u w:val="none"/>
        </w:rPr>
        <w:t>；与上年决算相比，收、支总计各减少1520.34万元，下降6.80%。其中：</w:t>
      </w: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bCs/>
          <w:kern w:val="0"/>
          <w:sz w:val="27"/>
          <w:szCs w:val="27"/>
        </w:rPr>
        <w:t xml:space="preserve">  </w:t>
      </w:r>
    </w:p>
    <w:p>
      <w:pPr>
        <w:pageBreakBefore w:val="0"/>
        <w:widowControl/>
        <w:kinsoku/>
        <w:wordWrap/>
        <w:overflowPunct/>
        <w:topLinePunct w:val="0"/>
        <w:autoSpaceDE/>
        <w:autoSpaceDN/>
        <w:bidi w:val="0"/>
        <w:adjustRightInd/>
        <w:snapToGrid/>
        <w:spacing w:before="240" w:after="240" w:line="520" w:lineRule="exact"/>
        <w:ind w:firstLine="320" w:firstLineChars="100"/>
        <w:rPr>
          <w:rFonts w:hint="eastAsia" w:ascii="楷体_GB2312" w:hAnsi="楷体_GB2312" w:eastAsia="楷体_GB2312" w:cs="楷体_GB2312"/>
          <w:b w:val="0"/>
          <w:bCs w:val="0"/>
          <w:kern w:val="0"/>
          <w:sz w:val="32"/>
          <w:szCs w:val="32"/>
          <w:u w:val="none"/>
        </w:rPr>
      </w:pPr>
      <w:r>
        <w:rPr>
          <w:rFonts w:hint="eastAsia" w:ascii="楷体_GB2312" w:hAnsi="楷体_GB2312" w:eastAsia="楷体_GB2312" w:cs="楷体_GB2312"/>
          <w:b w:val="0"/>
          <w:bCs w:val="0"/>
          <w:kern w:val="0"/>
          <w:sz w:val="32"/>
          <w:szCs w:val="32"/>
          <w:u w:val="none"/>
        </w:rPr>
        <w:t>（一）收入决算总计 20824.57万元。包括：</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1.本年收入决算合计 20805.66万元。与上年决算相比，减少211.78万元，下降1.01%，变动原因：</w:t>
      </w:r>
      <w:r>
        <w:rPr>
          <w:rFonts w:hint="eastAsia" w:ascii="仿宋_GB2312" w:hAnsi="仿宋_GB2312" w:eastAsia="仿宋_GB2312" w:cs="仿宋_GB2312"/>
          <w:kern w:val="0"/>
          <w:sz w:val="32"/>
          <w:szCs w:val="32"/>
          <w:lang w:val="en-US" w:eastAsia="zh-CN"/>
        </w:rPr>
        <w:t>本年度因工作重点安排变化比上年减少建设管理局重点项目建设资金收入。</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2.使用非财政拨款结余和专用结余 0.00万元。与上年决算相比，增加0.00万元，变动原因：不存在此项内容。</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w:t>
      </w:r>
      <w:r>
        <w:rPr>
          <w:rFonts w:hint="eastAsia" w:ascii="仿宋_GB2312" w:hAnsi="仿宋_GB2312" w:eastAsia="仿宋_GB2312" w:cs="仿宋_GB2312"/>
          <w:kern w:val="0"/>
          <w:sz w:val="32"/>
          <w:szCs w:val="32"/>
          <w:u w:val="none"/>
          <w:lang w:val="en-US" w:eastAsia="zh-CN"/>
        </w:rPr>
        <w:t xml:space="preserve">   </w:t>
      </w:r>
      <w:r>
        <w:rPr>
          <w:rFonts w:hint="eastAsia" w:ascii="仿宋_GB2312" w:hAnsi="仿宋_GB2312" w:eastAsia="仿宋_GB2312" w:cs="仿宋_GB2312"/>
          <w:kern w:val="0"/>
          <w:sz w:val="32"/>
          <w:szCs w:val="32"/>
          <w:u w:val="none"/>
        </w:rPr>
        <w:t xml:space="preserve"> 3.年初结转和结余 18.91万元。与上年决算相比，减少1308.56万元，下降98.58%，变动原因：</w:t>
      </w:r>
      <w:r>
        <w:rPr>
          <w:rFonts w:hint="eastAsia" w:ascii="仿宋_GB2312" w:hAnsi="仿宋_GB2312" w:eastAsia="仿宋_GB2312" w:cs="仿宋_GB2312"/>
          <w:kern w:val="0"/>
          <w:sz w:val="32"/>
          <w:szCs w:val="32"/>
          <w:lang w:val="en-US" w:eastAsia="zh-CN"/>
        </w:rPr>
        <w:t>盘活存量资金2023年调整年初数，2024年不调整，所以导致2024年年初数比2023年年初数减少1305.86万元。</w:t>
      </w:r>
    </w:p>
    <w:p>
      <w:pPr>
        <w:pageBreakBefore w:val="0"/>
        <w:widowControl/>
        <w:kinsoku/>
        <w:wordWrap/>
        <w:overflowPunct/>
        <w:topLinePunct w:val="0"/>
        <w:autoSpaceDE/>
        <w:autoSpaceDN/>
        <w:bidi w:val="0"/>
        <w:adjustRightInd/>
        <w:snapToGrid/>
        <w:spacing w:before="240" w:after="240" w:line="520" w:lineRule="exact"/>
        <w:jc w:val="left"/>
        <w:rPr>
          <w:rFonts w:hint="eastAsia" w:ascii="楷体_GB2312" w:hAnsi="楷体_GB2312" w:eastAsia="楷体_GB2312" w:cs="楷体_GB2312"/>
          <w:b w:val="0"/>
          <w:bCs w:val="0"/>
          <w:kern w:val="0"/>
          <w:sz w:val="32"/>
          <w:szCs w:val="32"/>
          <w:u w:val="none"/>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u w:val="none"/>
        </w:rPr>
        <w:t>（二）支出决算总计 20824.57万元。包括：</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ascii="fang_song_gb2312" w:hAnsi="fang_song_gb2312" w:eastAsia="fang_song_gb2312" w:cs="fang_song_gb2312"/>
          <w:kern w:val="0"/>
          <w:sz w:val="27"/>
          <w:szCs w:val="27"/>
          <w:u w:val="none"/>
        </w:rPr>
        <w:t xml:space="preserve">  </w:t>
      </w:r>
      <w:r>
        <w:rPr>
          <w:rFonts w:hint="eastAsia" w:ascii="仿宋_GB2312" w:hAnsi="仿宋_GB2312" w:eastAsia="仿宋_GB2312" w:cs="仿宋_GB2312"/>
          <w:kern w:val="0"/>
          <w:sz w:val="32"/>
          <w:szCs w:val="32"/>
          <w:u w:val="none"/>
        </w:rPr>
        <w:t>  1.本年支出决算合计 20794.63万元。与上年决算相比，减少1530.99万元，下降6.86%，变动原因：</w:t>
      </w:r>
      <w:r>
        <w:rPr>
          <w:rFonts w:hint="eastAsia" w:ascii="仿宋_GB2312" w:hAnsi="仿宋_GB2312" w:eastAsia="仿宋_GB2312" w:cs="仿宋_GB2312"/>
          <w:kern w:val="0"/>
          <w:sz w:val="32"/>
          <w:szCs w:val="32"/>
          <w:lang w:val="en-US" w:eastAsia="zh-CN"/>
        </w:rPr>
        <w:t>本年度因工作重点安排变化比上年减少建设管理局重点项目建设资金支出。</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2.结余分配 0.00万元。结余分配事项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无</w:t>
      </w:r>
      <w:r>
        <w:rPr>
          <w:rFonts w:hint="eastAsia" w:ascii="仿宋_GB2312" w:hAnsi="仿宋_GB2312" w:eastAsia="仿宋_GB2312" w:cs="仿宋_GB2312"/>
          <w:kern w:val="0"/>
          <w:sz w:val="32"/>
          <w:szCs w:val="32"/>
          <w:u w:val="none"/>
        </w:rPr>
        <w:t>。与上年决算相比，增加0.00万元，变动原因：不存在此项内容。</w:t>
      </w:r>
    </w:p>
    <w:p>
      <w:pPr>
        <w:widowControl/>
        <w:spacing w:before="240" w:after="24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u w:val="none"/>
        </w:rPr>
        <w:t>    3.年末结转和结余 29.94万元。结转和结余事项：财政拨款结转结余0.37万元，基本支出结转0.14万元，为之前年度个税工资结转，项目支出结转0.23万元，为退回借款和差旅费；非财政拨款结转结余29.56万元，为之前年度党建经费、利息收入4.56万元和2024年招商引资奖励经费25万元。与上年决算相比，增加10.65万元，增长55.20%，变动原因：</w:t>
      </w:r>
      <w:r>
        <w:rPr>
          <w:rFonts w:hint="eastAsia" w:ascii="仿宋_GB2312" w:hAnsi="仿宋_GB2312" w:eastAsia="仿宋_GB2312" w:cs="仿宋_GB2312"/>
          <w:kern w:val="0"/>
          <w:sz w:val="32"/>
          <w:szCs w:val="32"/>
          <w:lang w:val="en-US" w:eastAsia="zh-CN"/>
        </w:rPr>
        <w:t>2024年新增伊旗工业信息化和投资促进局招商引资奖励收入结转。</w:t>
      </w:r>
    </w:p>
    <w:p>
      <w:pPr>
        <w:pageBreakBefore w:val="0"/>
        <w:widowControl/>
        <w:kinsoku/>
        <w:wordWrap/>
        <w:overflowPunct/>
        <w:topLinePunct w:val="0"/>
        <w:autoSpaceDE/>
        <w:autoSpaceDN/>
        <w:bidi w:val="0"/>
        <w:adjustRightInd/>
        <w:snapToGrid/>
        <w:spacing w:before="240" w:after="240" w:line="520" w:lineRule="exact"/>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黑体" w:hAnsi="黑体" w:eastAsia="黑体" w:cs="黑体"/>
          <w:b w:val="0"/>
          <w:bCs w:val="0"/>
          <w:kern w:val="0"/>
          <w:sz w:val="32"/>
          <w:szCs w:val="32"/>
        </w:rPr>
        <w:t> </w:t>
      </w:r>
      <w:r>
        <w:rPr>
          <w:rFonts w:hint="eastAsia" w:ascii="黑体" w:hAnsi="黑体" w:eastAsia="黑体" w:cs="黑体"/>
          <w:b w:val="0"/>
          <w:bCs w:val="0"/>
          <w:kern w:val="0"/>
          <w:sz w:val="32"/>
          <w:szCs w:val="32"/>
        </w:rPr>
        <w:t xml:space="preserve"> 二、收入决算情况说明</w:t>
      </w:r>
    </w:p>
    <w:p>
      <w:pPr>
        <w:widowControl/>
        <w:spacing w:before="240" w:after="24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鄂尔多斯空港物流园区管理委员会部门 2024年度本年收入决算合计 20805.66万元，其中：</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本年一般公共预算财政拨款收入 19991.50万元，占 96.09%；</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本年政府性基金预算财政拨款收入 781.75万元，占 3.76%；</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本年国有资本经营预算财政拨款收入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本年上级补助收入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本年事业收入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本年经营收入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本年附属单位上缴收入 0万元，占 0%；</w:t>
      </w:r>
    </w:p>
    <w:p>
      <w:pPr>
        <w:widowControl/>
        <w:spacing w:before="240" w:after="24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本年其他收入 32.40万元，占 0.16%。</w:t>
      </w:r>
    </w:p>
    <w:p>
      <w:pPr>
        <w:pStyle w:val="2"/>
        <w:rPr>
          <w:rFonts w:hint="eastAsia"/>
        </w:rPr>
      </w:pPr>
      <w:r>
        <w:rPr>
          <w:rFonts w:ascii="Times New Roman" w:hAnsi="Times New Roman" w:eastAsia="Times New Roman" w:cs="Times New Roman"/>
          <w:strike w:val="0"/>
          <w:kern w:val="0"/>
          <w:sz w:val="24"/>
          <w:u w:val="none"/>
        </w:rPr>
        <w:drawing>
          <wp:inline distT="0" distB="0" distL="114300" distR="114300">
            <wp:extent cx="6170295" cy="3856990"/>
            <wp:effectExtent l="0" t="0" r="1905"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6170295" cy="3856990"/>
                    </a:xfrm>
                    <a:prstGeom prst="rect">
                      <a:avLst/>
                    </a:prstGeom>
                    <a:noFill/>
                    <a:ln>
                      <a:noFill/>
                    </a:ln>
                  </pic:spPr>
                </pic:pic>
              </a:graphicData>
            </a:graphic>
          </wp:inline>
        </w:drawing>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rPr>
      </w:pPr>
      <w:r>
        <w:rPr>
          <w:rFonts w:ascii="fang_song_gb2312" w:hAnsi="fang_song_gb2312" w:eastAsia="fang_song_gb2312" w:cs="fang_song_gb2312"/>
          <w:color w:val="0E00FE"/>
          <w:kern w:val="0"/>
          <w:sz w:val="27"/>
          <w:szCs w:val="27"/>
        </w:rPr>
        <w:t>   </w:t>
      </w:r>
      <w:r>
        <w:rPr>
          <w:rFonts w:hint="eastAsia" w:ascii="fang_song_gb2312" w:hAnsi="fang_song_gb2312" w:eastAsia="宋体" w:cs="fang_song_gb2312"/>
          <w:color w:val="0E00FE"/>
          <w:kern w:val="0"/>
          <w:sz w:val="27"/>
          <w:szCs w:val="27"/>
          <w:lang w:val="en-US" w:eastAsia="zh-CN"/>
        </w:rPr>
        <w:t xml:space="preserve">                        </w:t>
      </w:r>
      <w:r>
        <w:rPr>
          <w:rFonts w:hint="eastAsia" w:ascii="仿宋_GB2312" w:hAnsi="仿宋_GB2312" w:eastAsia="仿宋_GB2312" w:cs="仿宋_GB2312"/>
          <w:kern w:val="0"/>
          <w:sz w:val="32"/>
          <w:szCs w:val="32"/>
        </w:rPr>
        <w:t>图1.收入决算图</w:t>
      </w:r>
    </w:p>
    <w:p>
      <w:pPr>
        <w:pageBreakBefore w:val="0"/>
        <w:widowControl/>
        <w:kinsoku/>
        <w:wordWrap/>
        <w:overflowPunct/>
        <w:topLinePunct w:val="0"/>
        <w:autoSpaceDE/>
        <w:autoSpaceDN/>
        <w:bidi w:val="0"/>
        <w:adjustRightInd/>
        <w:snapToGrid/>
        <w:spacing w:before="240" w:after="240" w:line="520" w:lineRule="exact"/>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val="0"/>
          <w:bCs w:val="0"/>
          <w:kern w:val="0"/>
          <w:sz w:val="27"/>
          <w:szCs w:val="27"/>
        </w:rPr>
        <w:t xml:space="preserve"> </w:t>
      </w:r>
      <w:r>
        <w:rPr>
          <w:rFonts w:hint="eastAsia" w:ascii="黑体" w:hAnsi="黑体" w:eastAsia="黑体" w:cs="黑体"/>
          <w:b w:val="0"/>
          <w:bCs w:val="0"/>
          <w:kern w:val="0"/>
          <w:sz w:val="32"/>
          <w:szCs w:val="32"/>
        </w:rPr>
        <w:t>三、支出决算情况说明</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鄂尔多斯空港物流园区管理委员会部门2024年度本年支出决算合计 20794.63万元，其中：</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本年基本支出 1347.59万元，占 6.48%；</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本年项目支出 19447.05万元，占 93.52%；</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本年上缴上级支出 0万元，占 0%；</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本年经营支出 0万元，占 0%；</w:t>
      </w:r>
    </w:p>
    <w:p>
      <w:pPr>
        <w:pageBreakBefore w:val="0"/>
        <w:widowControl/>
        <w:kinsoku/>
        <w:wordWrap/>
        <w:overflowPunct/>
        <w:topLinePunct w:val="0"/>
        <w:autoSpaceDE/>
        <w:autoSpaceDN/>
        <w:bidi w:val="0"/>
        <w:adjustRightInd/>
        <w:snapToGrid/>
        <w:spacing w:before="240" w:after="240" w:line="520" w:lineRule="exact"/>
        <w:ind w:firstLine="497"/>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本年对附属单位补助支出 0万元，占 0%。</w:t>
      </w:r>
    </w:p>
    <w:p>
      <w:pPr>
        <w:pageBreakBefore w:val="0"/>
        <w:widowControl/>
        <w:kinsoku/>
        <w:wordWrap/>
        <w:overflowPunct/>
        <w:topLinePunct w:val="0"/>
        <w:autoSpaceDE/>
        <w:autoSpaceDN/>
        <w:bidi w:val="0"/>
        <w:adjustRightInd/>
        <w:snapToGrid/>
        <w:spacing w:before="240" w:after="240" w:line="520" w:lineRule="exact"/>
        <w:ind w:firstLine="497"/>
        <w:rPr>
          <w:rFonts w:hint="eastAsia" w:ascii="仿宋_GB2312" w:hAnsi="仿宋_GB2312" w:eastAsia="仿宋_GB2312" w:cs="仿宋_GB2312"/>
          <w:kern w:val="0"/>
          <w:sz w:val="32"/>
          <w:szCs w:val="32"/>
        </w:rPr>
      </w:pPr>
      <w:r>
        <w:rPr>
          <w:rFonts w:ascii="fang_song_gb2312" w:hAnsi="fang_song_gb2312" w:eastAsia="fang_song_gb2312" w:cs="fang_song_gb2312"/>
          <w:color w:val="0E00FE"/>
          <w:kern w:val="0"/>
          <w:sz w:val="27"/>
          <w:szCs w:val="27"/>
        </w:rPr>
        <w:t>   </w:t>
      </w:r>
      <w:r>
        <w:rPr>
          <w:rFonts w:hint="eastAsia"/>
          <w:lang w:val="en-US" w:eastAsia="zh-CN"/>
        </w:rPr>
        <w:t xml:space="preserve">    </w:t>
      </w:r>
    </w:p>
    <w:p>
      <w:pPr>
        <w:pStyle w:val="2"/>
      </w:pPr>
      <w:r>
        <w:drawing>
          <wp:inline distT="0" distB="0" distL="114300" distR="114300">
            <wp:extent cx="6171565" cy="3185160"/>
            <wp:effectExtent l="4445" t="4445" r="15240" b="1079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ageBreakBefore w:val="0"/>
        <w:widowControl/>
        <w:kinsoku/>
        <w:wordWrap/>
        <w:overflowPunct/>
        <w:topLinePunct w:val="0"/>
        <w:autoSpaceDE/>
        <w:autoSpaceDN/>
        <w:bidi w:val="0"/>
        <w:adjustRightInd/>
        <w:snapToGrid/>
        <w:spacing w:before="240" w:after="240" w:line="520" w:lineRule="exact"/>
        <w:ind w:firstLine="3840" w:firstLineChars="1200"/>
        <w:rPr>
          <w:rFonts w:hint="eastAsia"/>
        </w:rPr>
      </w:pPr>
      <w:r>
        <w:rPr>
          <w:rFonts w:hint="eastAsia" w:ascii="仿宋_GB2312" w:hAnsi="仿宋_GB2312" w:eastAsia="仿宋_GB2312" w:cs="仿宋_GB2312"/>
          <w:kern w:val="0"/>
          <w:sz w:val="32"/>
          <w:szCs w:val="32"/>
          <w:u w:val="none"/>
        </w:rPr>
        <w:t>图2.支出决算图</w:t>
      </w:r>
    </w:p>
    <w:p>
      <w:pPr>
        <w:pageBreakBefore w:val="0"/>
        <w:widowControl/>
        <w:kinsoku/>
        <w:wordWrap/>
        <w:overflowPunct/>
        <w:topLinePunct w:val="0"/>
        <w:autoSpaceDE/>
        <w:autoSpaceDN/>
        <w:bidi w:val="0"/>
        <w:adjustRightInd/>
        <w:snapToGrid/>
        <w:spacing w:before="240" w:after="240" w:line="520" w:lineRule="exact"/>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val="0"/>
          <w:bCs w:val="0"/>
          <w:kern w:val="0"/>
          <w:sz w:val="32"/>
          <w:szCs w:val="32"/>
        </w:rPr>
        <w:t xml:space="preserve"> </w:t>
      </w:r>
      <w:r>
        <w:rPr>
          <w:rFonts w:ascii="Calibri" w:hAnsi="Calibri" w:eastAsia="Calibri" w:cs="Calibri"/>
          <w:b w:val="0"/>
          <w:bCs w:val="0"/>
          <w:kern w:val="0"/>
          <w:sz w:val="32"/>
          <w:szCs w:val="32"/>
        </w:rPr>
        <w:t> </w:t>
      </w:r>
      <w:r>
        <w:rPr>
          <w:rFonts w:ascii="黑体" w:hAnsi="黑体" w:eastAsia="黑体" w:cs="黑体"/>
          <w:b w:val="0"/>
          <w:bCs w:val="0"/>
          <w:kern w:val="0"/>
          <w:sz w:val="32"/>
          <w:szCs w:val="32"/>
        </w:rPr>
        <w:t>四、财政拨款收入支出决算总体情况说明</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ascii="黑体" w:hAnsi="黑体" w:eastAsia="黑体" w:cs="黑体"/>
          <w:b w:val="0"/>
          <w:bCs w:val="0"/>
          <w:kern w:val="0"/>
          <w:sz w:val="32"/>
          <w:szCs w:val="32"/>
        </w:rPr>
      </w:pPr>
      <w:r>
        <w:rPr>
          <w:rFonts w:hint="eastAsia" w:ascii="仿宋_GB2312" w:hAnsi="仿宋_GB2312" w:eastAsia="仿宋_GB2312" w:cs="仿宋_GB2312"/>
          <w:kern w:val="0"/>
          <w:sz w:val="32"/>
          <w:szCs w:val="32"/>
          <w:u w:val="none"/>
        </w:rPr>
        <w:t>鄂尔多斯空港物流园区管理委员会部门 2024年度财政拨款收入、支出决算总计均为 20784.74万元，与年初预算相比，收、支总计各增加8454.94万元，增长68.57%，变动原因：</w:t>
      </w:r>
      <w:r>
        <w:rPr>
          <w:rFonts w:hint="eastAsia" w:ascii="仿宋_GB2312" w:hAnsi="仿宋_GB2312" w:eastAsia="仿宋_GB2312" w:cs="仿宋_GB2312"/>
          <w:kern w:val="0"/>
          <w:sz w:val="32"/>
          <w:szCs w:val="32"/>
          <w:lang w:val="en-US" w:eastAsia="zh-CN"/>
        </w:rPr>
        <w:t>主要为新增扫雪除冰车辆设备采购项目预算指标375.61万元、新增应急物资储备库二期建设资金项目预算指标4800万元、2024年第四批新增地方政府一般债券资金项目预算指标3600万元</w:t>
      </w:r>
      <w:r>
        <w:rPr>
          <w:rFonts w:hint="eastAsia" w:ascii="仿宋_GB2312" w:hAnsi="仿宋_GB2312" w:eastAsia="仿宋_GB2312" w:cs="仿宋_GB2312"/>
          <w:kern w:val="0"/>
          <w:sz w:val="32"/>
          <w:szCs w:val="32"/>
          <w:u w:val="none"/>
        </w:rPr>
        <w:t>；与上年决算相比，收、支总计各减少1545.48万元</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下降6.92%，变动原因：</w:t>
      </w:r>
      <w:r>
        <w:rPr>
          <w:rFonts w:hint="eastAsia" w:ascii="仿宋_GB2312" w:hAnsi="仿宋_GB2312" w:eastAsia="仿宋_GB2312" w:cs="仿宋_GB2312"/>
          <w:kern w:val="0"/>
          <w:sz w:val="32"/>
          <w:szCs w:val="32"/>
          <w:lang w:val="en-US" w:eastAsia="zh-CN"/>
        </w:rPr>
        <w:t>本年度因工作重点安排变化比上年减少建设管理局重点项目建设资金收入、支出</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320" w:firstLineChars="100"/>
        <w:jc w:val="left"/>
        <w:rPr>
          <w:rFonts w:ascii="Times New Roman" w:hAnsi="Times New Roman" w:eastAsia="Times New Roman" w:cs="Times New Roman"/>
          <w:b w:val="0"/>
          <w:bCs w:val="0"/>
          <w:kern w:val="0"/>
          <w:sz w:val="32"/>
          <w:szCs w:val="32"/>
        </w:rPr>
      </w:pPr>
      <w:r>
        <w:rPr>
          <w:rFonts w:ascii="黑体" w:hAnsi="黑体" w:eastAsia="黑体" w:cs="黑体"/>
          <w:b w:val="0"/>
          <w:bCs w:val="0"/>
          <w:kern w:val="0"/>
          <w:sz w:val="32"/>
          <w:szCs w:val="32"/>
        </w:rPr>
        <w:t>五、一般公共预算财政拨款支出决算情况说明</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rPr>
      </w:pPr>
      <w:r>
        <w:rPr>
          <w:rFonts w:ascii="fang_song_gb2312" w:hAnsi="fang_song_gb2312" w:eastAsia="fang_song_gb2312" w:cs="fang_song_gb2312"/>
          <w:kern w:val="0"/>
          <w:sz w:val="27"/>
          <w:szCs w:val="27"/>
        </w:rPr>
        <w:t>   </w:t>
      </w:r>
      <w:r>
        <w:rPr>
          <w:rFonts w:hint="eastAsia" w:ascii="fang_song_gb2312" w:hAnsi="fang_song_gb2312" w:eastAsia="宋体" w:cs="fang_song_gb2312"/>
          <w:kern w:val="0"/>
          <w:sz w:val="27"/>
          <w:szCs w:val="27"/>
          <w:lang w:val="en-US" w:eastAsia="zh-CN"/>
        </w:rPr>
        <w:t xml:space="preserve"> </w:t>
      </w:r>
      <w:r>
        <w:rPr>
          <w:rFonts w:ascii="fang_song_gb2312" w:hAnsi="fang_song_gb2312" w:eastAsia="fang_song_gb2312" w:cs="fang_song_gb2312"/>
          <w:kern w:val="0"/>
          <w:sz w:val="27"/>
          <w:szCs w:val="27"/>
        </w:rPr>
        <w:t xml:space="preserve"> </w:t>
      </w:r>
      <w:r>
        <w:rPr>
          <w:rFonts w:hint="eastAsia" w:ascii="仿宋_GB2312" w:hAnsi="仿宋_GB2312" w:eastAsia="仿宋_GB2312" w:cs="仿宋_GB2312"/>
          <w:kern w:val="0"/>
          <w:sz w:val="32"/>
          <w:szCs w:val="32"/>
          <w:u w:val="none"/>
        </w:rPr>
        <w:t>鄂尔多斯空港物流园区管理委员会部门 2024年度一般公共预算财政拨款支出决算 20002.52万元。与年初预算10459.80万元相比，完成年初预算的191.23%。其中：</w:t>
      </w:r>
    </w:p>
    <w:p>
      <w:pPr>
        <w:pageBreakBefore w:val="0"/>
        <w:widowControl/>
        <w:kinsoku/>
        <w:wordWrap/>
        <w:overflowPunct/>
        <w:topLinePunct w:val="0"/>
        <w:autoSpaceDE/>
        <w:autoSpaceDN/>
        <w:bidi w:val="0"/>
        <w:adjustRightInd/>
        <w:snapToGrid/>
        <w:spacing w:before="240" w:after="240" w:line="520" w:lineRule="exact"/>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楷体_GB2312" w:hAnsi="楷体_GB2312" w:eastAsia="楷体_GB2312" w:cs="楷体_GB2312"/>
          <w:b w:val="0"/>
          <w:bCs w:val="0"/>
          <w:kern w:val="0"/>
          <w:sz w:val="32"/>
          <w:szCs w:val="32"/>
        </w:rPr>
        <w:t>（一）一般公共服务（类）</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ascii="fang_song_gb2312" w:hAnsi="fang_song_gb2312" w:eastAsia="fang_song_gb2312" w:cs="fang_song_gb2312"/>
          <w:kern w:val="0"/>
          <w:sz w:val="27"/>
          <w:szCs w:val="27"/>
        </w:rPr>
        <w:t xml:space="preserve">  </w:t>
      </w:r>
      <w:r>
        <w:rPr>
          <w:rFonts w:hint="eastAsia" w:ascii="仿宋_GB2312" w:hAnsi="仿宋_GB2312" w:eastAsia="仿宋_GB2312" w:cs="仿宋_GB2312"/>
          <w:kern w:val="0"/>
          <w:sz w:val="32"/>
          <w:szCs w:val="32"/>
        </w:rPr>
        <w:t> </w:t>
      </w:r>
      <w:r>
        <w:rPr>
          <w:rFonts w:hint="eastAsia" w:ascii="仿宋_GB2312" w:hAnsi="仿宋_GB2312" w:eastAsia="仿宋_GB2312" w:cs="仿宋_GB2312"/>
          <w:kern w:val="0"/>
          <w:sz w:val="32"/>
          <w:szCs w:val="32"/>
          <w:u w:val="none"/>
        </w:rPr>
        <w:t xml:space="preserve">  一般公共服务（类）决算数为 4250.67万元，与年初预算相比减少1952.70万元。其中：</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1．政府办公厅(室)及相关机构事务（款）行政运行（项）。年初预算</w:t>
      </w:r>
      <w:r>
        <w:rPr>
          <w:rFonts w:hint="eastAsia" w:ascii="仿宋_GB2312" w:hAnsi="仿宋_GB2312" w:eastAsia="仿宋_GB2312" w:cs="仿宋_GB2312"/>
          <w:kern w:val="0"/>
          <w:sz w:val="32"/>
          <w:szCs w:val="32"/>
          <w:u w:val="none"/>
          <w:lang w:val="en-US" w:eastAsia="zh-CN"/>
        </w:rPr>
        <w:t>2110.13</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1534.23</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72.71</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根据单位相关工作开展进度情况，公共安全专项项目、基础组织及干部队伍建设项目、审计费用项目、基本管理与服务业务费项目等项目预算指标未使用完毕</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w:t>
      </w:r>
      <w:r>
        <w:rPr>
          <w:rFonts w:hint="eastAsia" w:ascii="仿宋_GB2312" w:hAnsi="仿宋_GB2312" w:eastAsia="仿宋_GB2312" w:cs="仿宋_GB2312"/>
          <w:kern w:val="0"/>
          <w:sz w:val="32"/>
          <w:szCs w:val="32"/>
          <w:u w:val="none"/>
          <w:lang w:val="en-US" w:eastAsia="zh-CN"/>
        </w:rPr>
        <w:t xml:space="preserve"> 2</w:t>
      </w:r>
      <w:r>
        <w:rPr>
          <w:rFonts w:hint="eastAsia" w:ascii="仿宋_GB2312" w:hAnsi="仿宋_GB2312" w:eastAsia="仿宋_GB2312" w:cs="仿宋_GB2312"/>
          <w:kern w:val="0"/>
          <w:sz w:val="32"/>
          <w:szCs w:val="32"/>
          <w:u w:val="none"/>
        </w:rPr>
        <w:t>．政府办公厅(室)及相关机构事务（款）其他政府办公厅(室)及相关机构事务支出（项）。年初预算</w:t>
      </w:r>
      <w:r>
        <w:rPr>
          <w:rFonts w:hint="eastAsia" w:ascii="仿宋_GB2312" w:hAnsi="仿宋_GB2312" w:eastAsia="仿宋_GB2312" w:cs="仿宋_GB2312"/>
          <w:kern w:val="0"/>
          <w:sz w:val="32"/>
          <w:szCs w:val="32"/>
          <w:u w:val="none"/>
          <w:lang w:val="en-US" w:eastAsia="zh-CN"/>
        </w:rPr>
        <w:t>2096.46</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1832.23</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87.4</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根据单位相关工作开展进度情况，产业培育活动经费项目、会议费项目、宣传专项项目等项目预算指标未使用完毕</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．发展与改革事务（款）行政运行（项）。年初预算</w:t>
      </w:r>
      <w:r>
        <w:rPr>
          <w:rFonts w:hint="eastAsia" w:ascii="仿宋_GB2312" w:hAnsi="仿宋_GB2312" w:eastAsia="仿宋_GB2312" w:cs="仿宋_GB2312"/>
          <w:kern w:val="0"/>
          <w:sz w:val="32"/>
          <w:szCs w:val="32"/>
          <w:u w:val="none"/>
          <w:lang w:val="en-US" w:eastAsia="zh-CN"/>
        </w:rPr>
        <w:t>1490.95</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374.33</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25.11</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根据单位相关工作开展进度情况，编制产业规划、十五五规划、集团公司编制项目、招商引资政策兑现经费项目、厂房租赁费项目等项目预算指标未使用完毕</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．财政事务（款）行政运行（项）。年初预算</w:t>
      </w:r>
      <w:r>
        <w:rPr>
          <w:rFonts w:hint="eastAsia" w:ascii="仿宋_GB2312" w:hAnsi="仿宋_GB2312" w:eastAsia="仿宋_GB2312" w:cs="仿宋_GB2312"/>
          <w:kern w:val="0"/>
          <w:sz w:val="32"/>
          <w:szCs w:val="32"/>
          <w:u w:val="none"/>
          <w:lang w:val="en-US" w:eastAsia="zh-CN"/>
        </w:rPr>
        <w:t>60.73</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47.68</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78.51</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根据单位相关工作开展进度情况，业务经费项目、会议布置费项目等项目预算指标未使用完毕</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rPr>
      </w:pP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rPr>
        <w:t>．审计事务（款）审计业务（项）。年初预算</w:t>
      </w:r>
      <w:r>
        <w:rPr>
          <w:rFonts w:hint="eastAsia" w:ascii="仿宋_GB2312" w:hAnsi="仿宋_GB2312" w:eastAsia="仿宋_GB2312" w:cs="仿宋_GB2312"/>
          <w:kern w:val="0"/>
          <w:sz w:val="32"/>
          <w:szCs w:val="32"/>
          <w:u w:val="none"/>
          <w:lang w:val="en-US" w:eastAsia="zh-CN"/>
        </w:rPr>
        <w:t>20</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20</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本年度资金使用合理，无增减变化。</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6</w:t>
      </w:r>
      <w:r>
        <w:rPr>
          <w:rFonts w:hint="eastAsia" w:ascii="仿宋_GB2312" w:hAnsi="仿宋_GB2312" w:eastAsia="仿宋_GB2312" w:cs="仿宋_GB2312"/>
          <w:kern w:val="0"/>
          <w:sz w:val="32"/>
          <w:szCs w:val="32"/>
          <w:u w:val="none"/>
        </w:rPr>
        <w:t>．纪检监察事务（款）行政运行（项）。年初预算</w:t>
      </w:r>
      <w:r>
        <w:rPr>
          <w:rFonts w:hint="eastAsia" w:ascii="仿宋_GB2312" w:hAnsi="仿宋_GB2312" w:eastAsia="仿宋_GB2312" w:cs="仿宋_GB2312"/>
          <w:kern w:val="0"/>
          <w:sz w:val="32"/>
          <w:szCs w:val="32"/>
          <w:u w:val="none"/>
          <w:lang w:val="en-US" w:eastAsia="zh-CN"/>
        </w:rPr>
        <w:t>41.16</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26.57</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64.55</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根据单位相关工作开展进度情况，基础组织及干部队伍建设警示教育宣传费项目、购置费项目和专案经费项目等项目预算指标未使用完毕</w:t>
      </w:r>
      <w:r>
        <w:rPr>
          <w:rFonts w:hint="eastAsia" w:ascii="仿宋_GB2312" w:hAnsi="仿宋_GB2312" w:eastAsia="仿宋_GB2312" w:cs="仿宋_GB2312"/>
          <w:kern w:val="0"/>
          <w:sz w:val="32"/>
          <w:szCs w:val="32"/>
          <w:u w:val="none"/>
        </w:rPr>
        <w:t>。</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7.</w:t>
      </w:r>
      <w:r>
        <w:rPr>
          <w:rFonts w:hint="eastAsia" w:ascii="仿宋_GB2312" w:hAnsi="仿宋_GB2312" w:eastAsia="仿宋_GB2312" w:cs="仿宋_GB2312"/>
          <w:kern w:val="0"/>
          <w:sz w:val="32"/>
          <w:szCs w:val="32"/>
          <w:u w:val="none"/>
        </w:rPr>
        <w:t>商贸事务（款）行政运行（项）。年初预算</w:t>
      </w:r>
      <w:r>
        <w:rPr>
          <w:rFonts w:hint="eastAsia" w:ascii="仿宋_GB2312" w:hAnsi="仿宋_GB2312" w:eastAsia="仿宋_GB2312" w:cs="仿宋_GB2312"/>
          <w:kern w:val="0"/>
          <w:sz w:val="32"/>
          <w:szCs w:val="32"/>
          <w:u w:val="none"/>
          <w:lang w:val="en-US" w:eastAsia="zh-CN"/>
        </w:rPr>
        <w:t>171.27</w:t>
      </w:r>
      <w:r>
        <w:rPr>
          <w:rFonts w:hint="eastAsia" w:ascii="仿宋_GB2312" w:hAnsi="仿宋_GB2312" w:eastAsia="仿宋_GB2312" w:cs="仿宋_GB2312"/>
          <w:kern w:val="0"/>
          <w:sz w:val="32"/>
          <w:szCs w:val="32"/>
          <w:u w:val="none"/>
        </w:rPr>
        <w:t>万元，支出决算159.21万元，完成年初预算的</w:t>
      </w:r>
      <w:r>
        <w:rPr>
          <w:rFonts w:hint="eastAsia" w:ascii="仿宋_GB2312" w:hAnsi="仿宋_GB2312" w:eastAsia="仿宋_GB2312" w:cs="仿宋_GB2312"/>
          <w:kern w:val="0"/>
          <w:sz w:val="32"/>
          <w:szCs w:val="32"/>
          <w:u w:val="none"/>
          <w:lang w:val="en-US" w:eastAsia="zh-CN"/>
        </w:rPr>
        <w:t>92.96</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根据单位相关工作开展进度情况，企业服务大厅运营维护经费、优化营商环境经费项目预算指标未使用完毕</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8</w:t>
      </w:r>
      <w:r>
        <w:rPr>
          <w:rFonts w:hint="eastAsia" w:ascii="仿宋_GB2312" w:hAnsi="仿宋_GB2312" w:eastAsia="仿宋_GB2312" w:cs="仿宋_GB2312"/>
          <w:kern w:val="0"/>
          <w:sz w:val="32"/>
          <w:szCs w:val="32"/>
          <w:u w:val="none"/>
        </w:rPr>
        <w:t>．商贸事务（款）招商引资（项）。年初预算</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57.33</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57.33</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根据单位相关工作开展进度情况，招商引资经费项目预算指标未使用完毕</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9</w:t>
      </w:r>
      <w:r>
        <w:rPr>
          <w:rFonts w:hint="eastAsia" w:ascii="仿宋_GB2312" w:hAnsi="仿宋_GB2312" w:eastAsia="仿宋_GB2312" w:cs="仿宋_GB2312"/>
          <w:kern w:val="0"/>
          <w:sz w:val="32"/>
          <w:szCs w:val="32"/>
          <w:u w:val="none"/>
        </w:rPr>
        <w:t>．商贸事务（款）其他商贸事务支出（项）。年初预算</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90.9</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90.9</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根据单位相关工作开展进度情况，资金管理申报编制项目预算指标未使用完毕</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10</w:t>
      </w:r>
      <w:r>
        <w:rPr>
          <w:rFonts w:hint="eastAsia" w:ascii="仿宋_GB2312" w:hAnsi="仿宋_GB2312" w:eastAsia="仿宋_GB2312" w:cs="仿宋_GB2312"/>
          <w:kern w:val="0"/>
          <w:sz w:val="32"/>
          <w:szCs w:val="32"/>
          <w:u w:val="none"/>
        </w:rPr>
        <w:t>．其他一般公共服务支出（款）其他一般公共服务支出（项）。年初预算</w:t>
      </w:r>
      <w:r>
        <w:rPr>
          <w:rFonts w:hint="eastAsia" w:ascii="仿宋_GB2312" w:hAnsi="仿宋_GB2312" w:eastAsia="仿宋_GB2312" w:cs="仿宋_GB2312"/>
          <w:kern w:val="0"/>
          <w:sz w:val="32"/>
          <w:szCs w:val="32"/>
          <w:u w:val="none"/>
          <w:lang w:val="en-US" w:eastAsia="zh-CN"/>
        </w:rPr>
        <w:t>12.67</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108.19</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853.91</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根据单位相关工作开展需要，新增综保区产业链飞地资金项目、参加鄂尔多斯国际进口商品及母婴展览会项目预算指标</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（二）公共安全（类）</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ascii="fang_song_gb2312" w:hAnsi="fang_song_gb2312" w:eastAsia="fang_song_gb2312" w:cs="fang_song_gb2312"/>
          <w:kern w:val="0"/>
          <w:sz w:val="27"/>
          <w:szCs w:val="27"/>
        </w:rPr>
        <w:t>   </w:t>
      </w:r>
      <w:r>
        <w:rPr>
          <w:rFonts w:hint="eastAsia" w:ascii="fang_song_gb2312" w:hAnsi="fang_song_gb2312" w:eastAsia="宋体" w:cs="fang_song_gb2312"/>
          <w:kern w:val="0"/>
          <w:sz w:val="27"/>
          <w:szCs w:val="27"/>
          <w:lang w:val="en-US" w:eastAsia="zh-CN"/>
        </w:rPr>
        <w:t xml:space="preserve"> </w:t>
      </w:r>
      <w:r>
        <w:rPr>
          <w:rFonts w:ascii="fang_song_gb2312" w:hAnsi="fang_song_gb2312" w:eastAsia="fang_song_gb2312" w:cs="fang_song_gb2312"/>
          <w:kern w:val="0"/>
          <w:sz w:val="27"/>
          <w:szCs w:val="27"/>
        </w:rPr>
        <w:t xml:space="preserve"> </w:t>
      </w:r>
      <w:r>
        <w:rPr>
          <w:rFonts w:hint="eastAsia" w:ascii="仿宋_GB2312" w:hAnsi="仿宋_GB2312" w:eastAsia="仿宋_GB2312" w:cs="仿宋_GB2312"/>
          <w:kern w:val="0"/>
          <w:sz w:val="32"/>
          <w:szCs w:val="32"/>
          <w:u w:val="none"/>
        </w:rPr>
        <w:t>公共安全（类）决算数为 21.59万元，与年初预算相比增加21.59万元。其中：</w:t>
      </w:r>
    </w:p>
    <w:p>
      <w:pPr>
        <w:pageBreakBefore w:val="0"/>
        <w:widowControl/>
        <w:kinsoku/>
        <w:wordWrap/>
        <w:overflowPunct/>
        <w:topLinePunct w:val="0"/>
        <w:autoSpaceDE/>
        <w:autoSpaceDN/>
        <w:bidi w:val="0"/>
        <w:adjustRightInd/>
        <w:snapToGrid/>
        <w:spacing w:before="240" w:after="240" w:line="520" w:lineRule="exact"/>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国家保密（款）保密管理（项）。年初预算0万元，支出决算21.59万元，较年初预算增加21.59万元。决算数与年初预算数的差异原因：根据单位相关工作开展需要，新增信创统一建设项目预算指标</w:t>
      </w:r>
      <w:r>
        <w:rPr>
          <w:rFonts w:hint="eastAsia" w:ascii="仿宋_GB2312" w:hAnsi="仿宋_GB2312" w:eastAsia="仿宋_GB2312" w:cs="仿宋_GB2312"/>
          <w:kern w:val="0"/>
          <w:sz w:val="32"/>
          <w:szCs w:val="32"/>
          <w:u w:val="none"/>
        </w:rPr>
        <w:t>。</w:t>
      </w: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三</w:t>
      </w:r>
      <w:r>
        <w:rPr>
          <w:rFonts w:hint="eastAsia" w:ascii="楷体_GB2312" w:hAnsi="楷体_GB2312" w:eastAsia="楷体_GB2312" w:cs="楷体_GB2312"/>
          <w:b w:val="0"/>
          <w:bCs w:val="0"/>
          <w:kern w:val="0"/>
          <w:sz w:val="32"/>
          <w:szCs w:val="32"/>
        </w:rPr>
        <w:t>）科学技术支出（类）</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科学技术支出类决算数为</w:t>
      </w:r>
      <w:r>
        <w:rPr>
          <w:rFonts w:hint="eastAsia" w:ascii="仿宋_GB2312" w:hAnsi="仿宋_GB2312" w:eastAsia="仿宋_GB2312" w:cs="仿宋_GB2312"/>
          <w:kern w:val="0"/>
          <w:sz w:val="32"/>
          <w:szCs w:val="32"/>
          <w:u w:val="none"/>
          <w:lang w:val="en-US" w:eastAsia="zh-CN"/>
        </w:rPr>
        <w:t>315.41</w:t>
      </w:r>
      <w:r>
        <w:rPr>
          <w:rFonts w:hint="eastAsia" w:ascii="仿宋_GB2312" w:hAnsi="仿宋_GB2312" w:eastAsia="仿宋_GB2312" w:cs="仿宋_GB2312"/>
          <w:kern w:val="0"/>
          <w:sz w:val="32"/>
          <w:szCs w:val="32"/>
          <w:u w:val="none"/>
        </w:rPr>
        <w:t>万元，与年初预算相比</w:t>
      </w:r>
      <w:r>
        <w:rPr>
          <w:rFonts w:hint="eastAsia" w:ascii="仿宋_GB2312" w:hAnsi="仿宋_GB2312" w:eastAsia="仿宋_GB2312" w:cs="仿宋_GB2312"/>
          <w:kern w:val="0"/>
          <w:sz w:val="32"/>
          <w:szCs w:val="32"/>
          <w:u w:val="none"/>
          <w:lang w:val="en-US" w:eastAsia="zh-CN"/>
        </w:rPr>
        <w:t>增加110.22</w:t>
      </w:r>
      <w:r>
        <w:rPr>
          <w:rFonts w:hint="eastAsia" w:ascii="仿宋_GB2312" w:hAnsi="仿宋_GB2312" w:eastAsia="仿宋_GB2312" w:cs="仿宋_GB2312"/>
          <w:kern w:val="0"/>
          <w:sz w:val="32"/>
          <w:szCs w:val="32"/>
          <w:u w:val="none"/>
        </w:rPr>
        <w:t>万元。其中：</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1．科学技术管理事务（款）行政运行（项）。年初预算</w:t>
      </w:r>
      <w:r>
        <w:rPr>
          <w:rFonts w:hint="eastAsia" w:ascii="仿宋_GB2312" w:hAnsi="仿宋_GB2312" w:eastAsia="仿宋_GB2312" w:cs="仿宋_GB2312"/>
          <w:kern w:val="0"/>
          <w:sz w:val="32"/>
          <w:szCs w:val="32"/>
          <w:u w:val="none"/>
          <w:lang w:val="en-US" w:eastAsia="zh-CN"/>
        </w:rPr>
        <w:t>99.93</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101.81</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101.88</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根据单位工作开展进度情况需要，新增工资总额和年度考核奖项目预算指标</w:t>
      </w:r>
      <w:r>
        <w:rPr>
          <w:rFonts w:hint="eastAsia" w:ascii="仿宋_GB2312" w:hAnsi="仿宋_GB2312" w:eastAsia="仿宋_GB2312" w:cs="仿宋_GB2312"/>
          <w:kern w:val="0"/>
          <w:sz w:val="32"/>
          <w:szCs w:val="32"/>
          <w:u w:val="none"/>
        </w:rPr>
        <w:t>。</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2．科学技术管理事务（款）其他科学技术管理事务支出（项）。年初预算</w:t>
      </w:r>
      <w:r>
        <w:rPr>
          <w:rFonts w:hint="eastAsia" w:ascii="仿宋_GB2312" w:hAnsi="仿宋_GB2312" w:eastAsia="仿宋_GB2312" w:cs="仿宋_GB2312"/>
          <w:kern w:val="0"/>
          <w:sz w:val="32"/>
          <w:szCs w:val="32"/>
          <w:u w:val="none"/>
          <w:lang w:val="en-US" w:eastAsia="zh-CN"/>
        </w:rPr>
        <w:t>105.26</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33.6</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31.92</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根据单位工作开展进度情况，</w:t>
      </w:r>
      <w:r>
        <w:rPr>
          <w:rFonts w:hint="eastAsia" w:ascii="仿宋_GB2312" w:hAnsi="仿宋_GB2312" w:eastAsia="仿宋_GB2312" w:cs="仿宋_GB2312"/>
          <w:kern w:val="0"/>
          <w:sz w:val="32"/>
          <w:szCs w:val="32"/>
          <w:u w:val="none"/>
        </w:rPr>
        <w:t>人才服务支出</w:t>
      </w:r>
      <w:r>
        <w:rPr>
          <w:rFonts w:hint="eastAsia" w:ascii="仿宋_GB2312" w:hAnsi="仿宋_GB2312" w:eastAsia="仿宋_GB2312" w:cs="仿宋_GB2312"/>
          <w:kern w:val="0"/>
          <w:sz w:val="32"/>
          <w:szCs w:val="32"/>
          <w:u w:val="none"/>
          <w:lang w:val="en-US" w:eastAsia="zh-CN"/>
        </w:rPr>
        <w:t>项目预算</w:t>
      </w:r>
      <w:r>
        <w:rPr>
          <w:rFonts w:hint="eastAsia" w:ascii="仿宋_GB2312" w:hAnsi="仿宋_GB2312" w:eastAsia="仿宋_GB2312" w:cs="仿宋_GB2312"/>
          <w:kern w:val="0"/>
          <w:sz w:val="32"/>
          <w:szCs w:val="32"/>
          <w:u w:val="none"/>
        </w:rPr>
        <w:t>指标</w:t>
      </w:r>
      <w:r>
        <w:rPr>
          <w:rFonts w:hint="eastAsia" w:ascii="仿宋_GB2312" w:hAnsi="仿宋_GB2312" w:eastAsia="仿宋_GB2312" w:cs="仿宋_GB2312"/>
          <w:kern w:val="0"/>
          <w:sz w:val="32"/>
          <w:szCs w:val="32"/>
          <w:u w:val="none"/>
          <w:lang w:val="en-US" w:eastAsia="zh-CN"/>
        </w:rPr>
        <w:t>和</w:t>
      </w:r>
      <w:r>
        <w:rPr>
          <w:rFonts w:hint="eastAsia" w:ascii="仿宋_GB2312" w:hAnsi="仿宋_GB2312" w:eastAsia="仿宋_GB2312" w:cs="仿宋_GB2312"/>
          <w:kern w:val="0"/>
          <w:sz w:val="32"/>
          <w:szCs w:val="32"/>
          <w:u w:val="none"/>
        </w:rPr>
        <w:t>科技服务支出</w:t>
      </w:r>
      <w:r>
        <w:rPr>
          <w:rFonts w:hint="eastAsia" w:ascii="仿宋_GB2312" w:hAnsi="仿宋_GB2312" w:eastAsia="仿宋_GB2312" w:cs="仿宋_GB2312"/>
          <w:kern w:val="0"/>
          <w:sz w:val="32"/>
          <w:szCs w:val="32"/>
          <w:u w:val="none"/>
          <w:lang w:val="en-US" w:eastAsia="zh-CN"/>
        </w:rPr>
        <w:t>项目预算</w:t>
      </w:r>
      <w:r>
        <w:rPr>
          <w:rFonts w:hint="eastAsia" w:ascii="仿宋_GB2312" w:hAnsi="仿宋_GB2312" w:eastAsia="仿宋_GB2312" w:cs="仿宋_GB2312"/>
          <w:kern w:val="0"/>
          <w:sz w:val="32"/>
          <w:szCs w:val="32"/>
          <w:u w:val="none"/>
        </w:rPr>
        <w:t>指标</w:t>
      </w:r>
      <w:r>
        <w:rPr>
          <w:rFonts w:hint="eastAsia" w:ascii="仿宋_GB2312" w:hAnsi="仿宋_GB2312" w:eastAsia="仿宋_GB2312" w:cs="仿宋_GB2312"/>
          <w:kern w:val="0"/>
          <w:sz w:val="32"/>
          <w:szCs w:val="32"/>
          <w:u w:val="none"/>
          <w:lang w:val="en-US" w:eastAsia="zh-CN"/>
        </w:rPr>
        <w:t>未使用完毕</w:t>
      </w:r>
      <w:r>
        <w:rPr>
          <w:rFonts w:hint="eastAsia" w:ascii="仿宋_GB2312" w:hAnsi="仿宋_GB2312" w:eastAsia="仿宋_GB2312" w:cs="仿宋_GB2312"/>
          <w:kern w:val="0"/>
          <w:sz w:val="32"/>
          <w:szCs w:val="32"/>
          <w:u w:val="none"/>
        </w:rPr>
        <w:t>。</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．技术研究与开发（款）其他技术研究与开发支出（项）。年初预算</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8</w:t>
      </w:r>
      <w:r>
        <w:rPr>
          <w:rFonts w:hint="eastAsia" w:ascii="仿宋_GB2312" w:hAnsi="仿宋_GB2312" w:eastAsia="仿宋_GB2312" w:cs="仿宋_GB2312"/>
          <w:kern w:val="0"/>
          <w:sz w:val="32"/>
          <w:szCs w:val="32"/>
          <w:u w:val="none"/>
        </w:rPr>
        <w:t>万元，较年初预算增加</w:t>
      </w:r>
      <w:r>
        <w:rPr>
          <w:rFonts w:hint="eastAsia" w:ascii="仿宋_GB2312" w:hAnsi="仿宋_GB2312" w:eastAsia="仿宋_GB2312" w:cs="仿宋_GB2312"/>
          <w:kern w:val="0"/>
          <w:sz w:val="32"/>
          <w:szCs w:val="32"/>
          <w:u w:val="none"/>
          <w:lang w:val="en-US" w:eastAsia="zh-CN"/>
        </w:rPr>
        <w:t>8</w:t>
      </w:r>
      <w:r>
        <w:rPr>
          <w:rFonts w:hint="eastAsia" w:ascii="仿宋_GB2312" w:hAnsi="仿宋_GB2312" w:eastAsia="仿宋_GB2312" w:cs="仿宋_GB2312"/>
          <w:kern w:val="0"/>
          <w:sz w:val="32"/>
          <w:szCs w:val="32"/>
          <w:u w:val="none"/>
        </w:rPr>
        <w:t>万元。决算数与年初预算数的差异原因：</w:t>
      </w:r>
      <w:r>
        <w:rPr>
          <w:rFonts w:hint="eastAsia" w:ascii="仿宋_GB2312" w:hAnsi="仿宋_GB2312" w:eastAsia="仿宋_GB2312" w:cs="仿宋_GB2312"/>
          <w:kern w:val="0"/>
          <w:sz w:val="32"/>
          <w:szCs w:val="32"/>
          <w:u w:val="none"/>
          <w:lang w:val="en-US" w:eastAsia="zh-CN"/>
        </w:rPr>
        <w:t>根据单位工作开展进度情况需要，新增科技创新引导奖励资金项目预算指标</w:t>
      </w:r>
      <w:r>
        <w:rPr>
          <w:rFonts w:hint="eastAsia" w:ascii="仿宋_GB2312" w:hAnsi="仿宋_GB2312" w:eastAsia="仿宋_GB2312" w:cs="仿宋_GB2312"/>
          <w:kern w:val="0"/>
          <w:sz w:val="32"/>
          <w:szCs w:val="32"/>
          <w:u w:val="none"/>
        </w:rPr>
        <w:t>。</w:t>
      </w:r>
    </w:p>
    <w:p>
      <w:pPr>
        <w:widowControl/>
        <w:spacing w:before="240" w:after="240"/>
        <w:ind w:firstLine="640" w:firstLineChars="200"/>
        <w:rPr>
          <w:rFonts w:ascii="Times New Roman" w:hAnsi="Times New Roman" w:eastAsia="Times New Roman" w:cs="Times New Roman"/>
          <w:kern w:val="0"/>
          <w:sz w:val="24"/>
        </w:rPr>
      </w:pP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．科技重大项目（款）科技重大专项（项）。年初预算</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万元，较年初预算增加</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万元。决算数与年初预算数的差异原因：</w:t>
      </w:r>
      <w:r>
        <w:rPr>
          <w:rFonts w:hint="eastAsia" w:ascii="仿宋_GB2312" w:hAnsi="仿宋_GB2312" w:eastAsia="仿宋_GB2312" w:cs="仿宋_GB2312"/>
          <w:kern w:val="0"/>
          <w:sz w:val="32"/>
          <w:szCs w:val="32"/>
          <w:u w:val="none"/>
          <w:lang w:val="en-US" w:eastAsia="zh-CN"/>
        </w:rPr>
        <w:t>根据单位工作开展进度情况需要，新增太阳能led显示屏高效能转化及自适应储能系统的技术研发项目预算指标</w:t>
      </w:r>
      <w:r>
        <w:rPr>
          <w:rFonts w:hint="eastAsia" w:ascii="仿宋_GB2312" w:hAnsi="仿宋_GB2312" w:eastAsia="仿宋_GB2312" w:cs="仿宋_GB2312"/>
          <w:kern w:val="0"/>
          <w:sz w:val="32"/>
          <w:szCs w:val="32"/>
          <w:u w:val="none"/>
        </w:rPr>
        <w:t>。</w:t>
      </w:r>
    </w:p>
    <w:p>
      <w:pPr>
        <w:widowControl/>
        <w:spacing w:before="240" w:after="240"/>
        <w:ind w:firstLine="640" w:firstLineChars="200"/>
        <w:rPr>
          <w:rFonts w:hint="eastAsia" w:ascii="楷体_GB2312" w:hAnsi="楷体_GB2312" w:eastAsia="楷体_GB2312" w:cs="楷体_GB2312"/>
          <w:b w:val="0"/>
          <w:bCs w:val="0"/>
          <w:kern w:val="0"/>
          <w:sz w:val="32"/>
          <w:szCs w:val="32"/>
        </w:rPr>
      </w:pP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rPr>
        <w:t>．其他科学技术支出（款）科技奖励（项）。年初预算</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72</w:t>
      </w:r>
      <w:r>
        <w:rPr>
          <w:rFonts w:hint="eastAsia" w:ascii="仿宋_GB2312" w:hAnsi="仿宋_GB2312" w:eastAsia="仿宋_GB2312" w:cs="仿宋_GB2312"/>
          <w:kern w:val="0"/>
          <w:sz w:val="32"/>
          <w:szCs w:val="32"/>
          <w:u w:val="none"/>
        </w:rPr>
        <w:t>万元，较年初预算增加</w:t>
      </w:r>
      <w:r>
        <w:rPr>
          <w:rFonts w:hint="eastAsia" w:ascii="仿宋_GB2312" w:hAnsi="仿宋_GB2312" w:eastAsia="仿宋_GB2312" w:cs="仿宋_GB2312"/>
          <w:kern w:val="0"/>
          <w:sz w:val="32"/>
          <w:szCs w:val="32"/>
          <w:u w:val="none"/>
          <w:lang w:val="en-US" w:eastAsia="zh-CN"/>
        </w:rPr>
        <w:t>72</w:t>
      </w:r>
      <w:r>
        <w:rPr>
          <w:rFonts w:hint="eastAsia" w:ascii="仿宋_GB2312" w:hAnsi="仿宋_GB2312" w:eastAsia="仿宋_GB2312" w:cs="仿宋_GB2312"/>
          <w:kern w:val="0"/>
          <w:sz w:val="32"/>
          <w:szCs w:val="32"/>
          <w:u w:val="none"/>
        </w:rPr>
        <w:t>万元。决算数与年初预算数的差异原因：</w:t>
      </w:r>
      <w:r>
        <w:rPr>
          <w:rFonts w:hint="eastAsia" w:ascii="仿宋_GB2312" w:hAnsi="仿宋_GB2312" w:eastAsia="仿宋_GB2312" w:cs="仿宋_GB2312"/>
          <w:kern w:val="0"/>
          <w:sz w:val="32"/>
          <w:szCs w:val="32"/>
          <w:u w:val="none"/>
          <w:lang w:val="en-US" w:eastAsia="zh-CN"/>
        </w:rPr>
        <w:t>根据单位工作开展进度情况需要，新增众创空间奖补资金、众创空间绩效评价奖补、第四批科技创新奖补和第八批科技创新奖补资金项目预算指标</w:t>
      </w:r>
      <w:r>
        <w:rPr>
          <w:rFonts w:hint="eastAsia" w:ascii="仿宋_GB2312" w:hAnsi="仿宋_GB2312" w:eastAsia="仿宋_GB2312" w:cs="仿宋_GB2312"/>
          <w:kern w:val="0"/>
          <w:sz w:val="32"/>
          <w:szCs w:val="32"/>
          <w:u w:val="none"/>
        </w:rPr>
        <w:t>。</w:t>
      </w:r>
      <w:r>
        <w:rPr>
          <w:rFonts w:ascii="kai_ti_gb2312" w:hAnsi="kai_ti_gb2312" w:eastAsia="kai_ti_gb2312" w:cs="kai_ti_gb2312"/>
          <w:b/>
          <w:bCs/>
          <w:kern w:val="0"/>
          <w:sz w:val="27"/>
          <w:szCs w:val="27"/>
        </w:rPr>
        <w:t>   </w:t>
      </w:r>
      <w:r>
        <w:rPr>
          <w:rFonts w:hint="eastAsia" w:ascii="楷体_GB2312" w:hAnsi="楷体_GB2312" w:eastAsia="楷体_GB2312" w:cs="楷体_GB2312"/>
          <w:b w:val="0"/>
          <w:bCs w:val="0"/>
          <w:kern w:val="0"/>
          <w:sz w:val="32"/>
          <w:szCs w:val="32"/>
        </w:rPr>
        <w:t xml:space="preserve"> </w:t>
      </w:r>
    </w:p>
    <w:p>
      <w:pPr>
        <w:pageBreakBefore w:val="0"/>
        <w:widowControl/>
        <w:kinsoku/>
        <w:wordWrap/>
        <w:overflowPunct/>
        <w:topLinePunct w:val="0"/>
        <w:autoSpaceDE/>
        <w:autoSpaceDN/>
        <w:bidi w:val="0"/>
        <w:adjustRightInd/>
        <w:snapToGrid/>
        <w:spacing w:before="240" w:after="240" w:line="520" w:lineRule="exact"/>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四</w:t>
      </w:r>
      <w:r>
        <w:rPr>
          <w:rFonts w:hint="eastAsia" w:ascii="楷体_GB2312" w:hAnsi="楷体_GB2312" w:eastAsia="楷体_GB2312" w:cs="楷体_GB2312"/>
          <w:b w:val="0"/>
          <w:bCs w:val="0"/>
          <w:kern w:val="0"/>
          <w:sz w:val="32"/>
          <w:szCs w:val="32"/>
        </w:rPr>
        <w:t>）社会保障和就业支出（类）</w:t>
      </w:r>
    </w:p>
    <w:p>
      <w:pPr>
        <w:pageBreakBefore w:val="0"/>
        <w:widowControl/>
        <w:kinsoku/>
        <w:wordWrap/>
        <w:overflowPunct/>
        <w:topLinePunct w:val="0"/>
        <w:autoSpaceDE/>
        <w:autoSpaceDN/>
        <w:bidi w:val="0"/>
        <w:adjustRightInd/>
        <w:snapToGrid/>
        <w:spacing w:before="240" w:after="240" w:line="520" w:lineRule="exact"/>
        <w:ind w:firstLine="50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社会保障和就业支出（类）决算数为 62.65万元，与年初预算相比减少0.85万元。其中：</w:t>
      </w:r>
    </w:p>
    <w:p>
      <w:pPr>
        <w:pageBreakBefore w:val="0"/>
        <w:widowControl/>
        <w:kinsoku/>
        <w:wordWrap/>
        <w:overflowPunct/>
        <w:topLinePunct w:val="0"/>
        <w:autoSpaceDE/>
        <w:autoSpaceDN/>
        <w:bidi w:val="0"/>
        <w:adjustRightInd/>
        <w:snapToGrid/>
        <w:spacing w:before="240" w:after="240" w:line="520" w:lineRule="exact"/>
        <w:ind w:firstLine="640" w:firstLineChars="200"/>
        <w:jc w:val="left"/>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1．行政事业单位养老支出（款）行政单位离退休（项）。年初预算0万元，支出决算2.52万元，较年初预算增加2.52万元。决算数与年初预算数的差异原因：根据单位相关工作开展需要，新增退休费项目预算指标</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u w:val="none"/>
        </w:rPr>
      </w:pP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xml:space="preserve">    </w:t>
      </w:r>
      <w:r>
        <w:rPr>
          <w:rFonts w:hint="eastAsia" w:ascii="仿宋_GB2312" w:hAnsi="仿宋_GB2312" w:eastAsia="仿宋_GB2312" w:cs="仿宋_GB2312"/>
          <w:kern w:val="0"/>
          <w:sz w:val="32"/>
          <w:szCs w:val="32"/>
          <w:u w:val="none"/>
          <w:lang w:val="en-US" w:eastAsia="zh-CN"/>
        </w:rPr>
        <w:t xml:space="preserve"> 2</w:t>
      </w:r>
      <w:r>
        <w:rPr>
          <w:rFonts w:hint="eastAsia" w:ascii="仿宋_GB2312" w:hAnsi="仿宋_GB2312" w:eastAsia="仿宋_GB2312" w:cs="仿宋_GB2312"/>
          <w:kern w:val="0"/>
          <w:sz w:val="32"/>
          <w:szCs w:val="32"/>
          <w:u w:val="none"/>
        </w:rPr>
        <w:t>．行政事业单位养老支出（款）机关事业单位基本养老保险缴费支出（项）。年初预算</w:t>
      </w:r>
      <w:r>
        <w:rPr>
          <w:rFonts w:hint="eastAsia" w:ascii="仿宋_GB2312" w:hAnsi="仿宋_GB2312" w:eastAsia="仿宋_GB2312" w:cs="仿宋_GB2312"/>
          <w:kern w:val="0"/>
          <w:sz w:val="32"/>
          <w:szCs w:val="32"/>
          <w:u w:val="none"/>
          <w:lang w:val="en-US" w:eastAsia="zh-CN"/>
        </w:rPr>
        <w:t>56.29</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52.71</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93.64</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根据部门工作开展进度情况，社保补贴预算项目中</w:t>
      </w:r>
      <w:r>
        <w:rPr>
          <w:rFonts w:hint="eastAsia" w:ascii="仿宋_GB2312" w:hAnsi="仿宋_GB2312" w:eastAsia="仿宋_GB2312" w:cs="仿宋_GB2312"/>
          <w:kern w:val="0"/>
          <w:sz w:val="32"/>
          <w:szCs w:val="32"/>
          <w:u w:val="none"/>
        </w:rPr>
        <w:t>养老保险缴费</w:t>
      </w:r>
      <w:r>
        <w:rPr>
          <w:rFonts w:hint="eastAsia" w:ascii="仿宋_GB2312" w:hAnsi="仿宋_GB2312" w:eastAsia="仿宋_GB2312" w:cs="仿宋_GB2312"/>
          <w:kern w:val="0"/>
          <w:sz w:val="32"/>
          <w:szCs w:val="32"/>
          <w:u w:val="none"/>
          <w:lang w:val="en-US" w:eastAsia="zh-CN"/>
        </w:rPr>
        <w:t>预算指标未使用完毕</w:t>
      </w:r>
      <w:r>
        <w:rPr>
          <w:rFonts w:hint="eastAsia" w:ascii="仿宋_GB2312" w:hAnsi="仿宋_GB2312" w:eastAsia="仿宋_GB2312" w:cs="仿宋_GB2312"/>
          <w:kern w:val="0"/>
          <w:sz w:val="32"/>
          <w:szCs w:val="32"/>
          <w:u w:val="none"/>
        </w:rPr>
        <w:t>。</w:t>
      </w:r>
    </w:p>
    <w:p>
      <w:pPr>
        <w:pStyle w:val="8"/>
        <w:pageBreakBefore w:val="0"/>
        <w:kinsoku/>
        <w:wordWrap/>
        <w:overflowPunct/>
        <w:topLinePunct w:val="0"/>
        <w:autoSpaceDE/>
        <w:autoSpaceDN/>
        <w:bidi w:val="0"/>
        <w:adjustRightInd/>
        <w:snapToGrid/>
        <w:spacing w:line="520" w:lineRule="exact"/>
        <w:ind w:firstLine="640"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kern w:val="0"/>
          <w:sz w:val="32"/>
          <w:szCs w:val="32"/>
          <w:u w:val="none"/>
        </w:rPr>
        <w:t> </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．其他社会保障和就业支出（款）其他社会保障和就业支出（项）。年初预算</w:t>
      </w:r>
      <w:r>
        <w:rPr>
          <w:rFonts w:hint="eastAsia" w:ascii="仿宋_GB2312" w:hAnsi="仿宋_GB2312" w:eastAsia="仿宋_GB2312" w:cs="仿宋_GB2312"/>
          <w:kern w:val="0"/>
          <w:sz w:val="32"/>
          <w:szCs w:val="32"/>
          <w:u w:val="none"/>
          <w:lang w:val="en-US" w:eastAsia="zh-CN"/>
        </w:rPr>
        <w:t>7.2</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7.42</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103.06</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根据单位相关工作开展需要，新增社保补贴预算项目中工伤保险缴费预算指标</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五</w:t>
      </w:r>
      <w:r>
        <w:rPr>
          <w:rFonts w:hint="eastAsia" w:ascii="楷体_GB2312" w:hAnsi="楷体_GB2312" w:eastAsia="楷体_GB2312" w:cs="楷体_GB2312"/>
          <w:b w:val="0"/>
          <w:bCs w:val="0"/>
          <w:kern w:val="0"/>
          <w:sz w:val="32"/>
          <w:szCs w:val="32"/>
        </w:rPr>
        <w:t>）卫生健康支出（类）</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ascii="fang_song_gb2312" w:hAnsi="fang_song_gb2312" w:eastAsia="fang_song_gb2312" w:cs="fang_song_gb2312"/>
          <w:kern w:val="0"/>
          <w:sz w:val="27"/>
          <w:szCs w:val="27"/>
        </w:rPr>
        <w:t>   </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u w:val="none"/>
        </w:rPr>
        <w:t>卫生健康支出（类）决算数为 28.07万元，与年初预算相比减少2.93万元。其中：</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w:t>
      </w:r>
      <w:r>
        <w:rPr>
          <w:rFonts w:hint="eastAsia" w:ascii="仿宋_GB2312" w:hAnsi="仿宋_GB2312" w:eastAsia="仿宋_GB2312" w:cs="仿宋_GB2312"/>
          <w:kern w:val="0"/>
          <w:sz w:val="32"/>
          <w:szCs w:val="32"/>
          <w:u w:val="none"/>
          <w:lang w:val="en-US" w:eastAsia="zh-CN"/>
        </w:rPr>
        <w:t xml:space="preserve"> </w:t>
      </w:r>
      <w:r>
        <w:rPr>
          <w:rFonts w:hint="eastAsia" w:ascii="仿宋_GB2312" w:hAnsi="仿宋_GB2312" w:eastAsia="仿宋_GB2312" w:cs="仿宋_GB2312"/>
          <w:kern w:val="0"/>
          <w:sz w:val="32"/>
          <w:szCs w:val="32"/>
          <w:u w:val="none"/>
        </w:rPr>
        <w:t xml:space="preserve"> </w:t>
      </w:r>
      <w:r>
        <w:rPr>
          <w:rFonts w:hint="eastAsia" w:ascii="仿宋_GB2312" w:hAnsi="仿宋_GB2312" w:eastAsia="仿宋_GB2312" w:cs="仿宋_GB2312"/>
          <w:kern w:val="0"/>
          <w:sz w:val="32"/>
          <w:szCs w:val="32"/>
          <w:u w:val="none"/>
          <w:lang w:val="en-US" w:eastAsia="zh-CN"/>
        </w:rPr>
        <w:t>1．行政事业单位医疗（款）行政单位医疗（项）。年初预算16.12万元，支出决算9.23万元，完成年初预算的57.26%。决算数与年初预算数的差异原因：根据单位工作开展进度情况，社保补贴预算项目中医疗保险缴费预算指标未使用完毕。</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2．</w:t>
      </w:r>
      <w:r>
        <w:rPr>
          <w:rFonts w:hint="eastAsia" w:ascii="仿宋_GB2312" w:hAnsi="仿宋_GB2312" w:eastAsia="仿宋_GB2312" w:cs="仿宋_GB2312"/>
          <w:kern w:val="0"/>
          <w:sz w:val="32"/>
          <w:szCs w:val="32"/>
          <w:u w:val="none"/>
          <w:lang w:val="en-US" w:eastAsia="zh-CN"/>
        </w:rPr>
        <w:t>行政事业单位医疗（款）事业单位医疗（项）。年初预算6.96万元，支出决算11.67万元，完成年初预算的167.67%。根据单位工作开展进度情况需要，新增社保补贴预算项目中事业单位医疗保险缴费预算指标。</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w:t>
      </w:r>
      <w:r>
        <w:rPr>
          <w:rFonts w:hint="eastAsia" w:ascii="仿宋_GB2312" w:hAnsi="仿宋_GB2312" w:eastAsia="仿宋_GB2312" w:cs="仿宋_GB2312"/>
          <w:kern w:val="0"/>
          <w:sz w:val="32"/>
          <w:szCs w:val="32"/>
          <w:u w:val="none"/>
          <w:lang w:val="en-US" w:eastAsia="zh-CN"/>
        </w:rPr>
        <w:t xml:space="preserve"> </w:t>
      </w:r>
      <w:r>
        <w:rPr>
          <w:rFonts w:hint="eastAsia" w:ascii="仿宋_GB2312" w:hAnsi="仿宋_GB2312" w:eastAsia="仿宋_GB2312" w:cs="仿宋_GB2312"/>
          <w:kern w:val="0"/>
          <w:sz w:val="32"/>
          <w:szCs w:val="32"/>
          <w:u w:val="none"/>
        </w:rPr>
        <w:t xml:space="preserve"> </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．行政事业单位医疗（款）公务员医疗补助（项）。年初预算</w:t>
      </w:r>
      <w:r>
        <w:rPr>
          <w:rFonts w:hint="eastAsia" w:ascii="仿宋_GB2312" w:hAnsi="仿宋_GB2312" w:eastAsia="仿宋_GB2312" w:cs="仿宋_GB2312"/>
          <w:kern w:val="0"/>
          <w:sz w:val="32"/>
          <w:szCs w:val="32"/>
          <w:u w:val="none"/>
          <w:lang w:val="en-US" w:eastAsia="zh-CN"/>
        </w:rPr>
        <w:t>7.89</w:t>
      </w:r>
      <w:r>
        <w:rPr>
          <w:rFonts w:hint="eastAsia" w:ascii="仿宋_GB2312" w:hAnsi="仿宋_GB2312" w:eastAsia="仿宋_GB2312" w:cs="仿宋_GB2312"/>
          <w:kern w:val="0"/>
          <w:sz w:val="32"/>
          <w:szCs w:val="32"/>
          <w:u w:val="none"/>
        </w:rPr>
        <w:t>万元，支出决算</w:t>
      </w:r>
      <w:r>
        <w:rPr>
          <w:rFonts w:hint="eastAsia" w:ascii="仿宋_GB2312" w:hAnsi="仿宋_GB2312" w:eastAsia="仿宋_GB2312" w:cs="仿宋_GB2312"/>
          <w:kern w:val="0"/>
          <w:sz w:val="32"/>
          <w:szCs w:val="32"/>
          <w:u w:val="none"/>
          <w:lang w:val="en-US" w:eastAsia="zh-CN"/>
        </w:rPr>
        <w:t>7.18</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91</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根据部门工作开展进度情况，社保补贴预算项目中公务员医补</w:t>
      </w:r>
      <w:r>
        <w:rPr>
          <w:rFonts w:hint="eastAsia" w:ascii="仿宋_GB2312" w:hAnsi="仿宋_GB2312" w:eastAsia="仿宋_GB2312" w:cs="仿宋_GB2312"/>
          <w:kern w:val="0"/>
          <w:sz w:val="32"/>
          <w:szCs w:val="32"/>
          <w:u w:val="none"/>
        </w:rPr>
        <w:t>保险缴费</w:t>
      </w:r>
      <w:r>
        <w:rPr>
          <w:rFonts w:hint="eastAsia" w:ascii="仿宋_GB2312" w:hAnsi="仿宋_GB2312" w:eastAsia="仿宋_GB2312" w:cs="仿宋_GB2312"/>
          <w:kern w:val="0"/>
          <w:sz w:val="32"/>
          <w:szCs w:val="32"/>
          <w:u w:val="none"/>
          <w:lang w:val="en-US" w:eastAsia="zh-CN"/>
        </w:rPr>
        <w:t>预算指标未使用完毕</w:t>
      </w:r>
      <w:r>
        <w:rPr>
          <w:rFonts w:hint="eastAsia" w:ascii="仿宋_GB2312" w:hAnsi="仿宋_GB2312" w:eastAsia="仿宋_GB2312" w:cs="仿宋_GB2312"/>
          <w:kern w:val="0"/>
          <w:sz w:val="32"/>
          <w:szCs w:val="32"/>
          <w:u w:val="none"/>
        </w:rPr>
        <w:t>。</w:t>
      </w: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六</w:t>
      </w:r>
      <w:r>
        <w:rPr>
          <w:rFonts w:hint="eastAsia" w:ascii="楷体_GB2312" w:hAnsi="楷体_GB2312" w:eastAsia="楷体_GB2312" w:cs="楷体_GB2312"/>
          <w:b w:val="0"/>
          <w:bCs w:val="0"/>
          <w:kern w:val="0"/>
          <w:sz w:val="32"/>
          <w:szCs w:val="32"/>
        </w:rPr>
        <w:t>）节能环保支出（类）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节能环保支出类决算数为5.39万元，与年初预算相比减少66.61万元。其中：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1.环境保护管理事务（款）生态环境保护宣传（项）。年初预算6万元，支出决算5万元，完成年初预算的83.33%。决算数与年初预算数的差异原因：根据单位工作开展进度情况，生态环境工作经费项目预算指标未使用完毕。</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2.环境保护管理事务（款）其他环境保护管理事务支出（项）。年初预算0万元，支出决算0.4万元，较年初预算增加0.4万元。决算数与年初预算数的差异原因：根据单位工作开展进度情况，预算调剂调增生态环境工作经费项目预算指标。</w:t>
      </w: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七</w:t>
      </w:r>
      <w:r>
        <w:rPr>
          <w:rFonts w:hint="eastAsia" w:ascii="楷体_GB2312" w:hAnsi="楷体_GB2312" w:eastAsia="楷体_GB2312" w:cs="楷体_GB2312"/>
          <w:b w:val="0"/>
          <w:bCs w:val="0"/>
          <w:kern w:val="0"/>
          <w:sz w:val="32"/>
          <w:szCs w:val="32"/>
        </w:rPr>
        <w:t>）城乡社区支出（类）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城乡社区支出类决算数为6929.09万元，与年初预算相比增加3289.09万元。其中：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1.城乡社区管理事务（款）行政运行（项）。年初预算35万元，支出决算31.69万元，完成年初预算的90.54%。决算数与年初预算数的差异原因：根据单位工作开展进度情况，建设管理局报刊费及书籍项目、宣传费用项目和会议费项目等项目预算指标未使用完毕。</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default"/>
          <w:lang w:val="en-US" w:eastAsia="zh-CN"/>
        </w:rPr>
      </w:pPr>
      <w:r>
        <w:rPr>
          <w:rFonts w:hint="eastAsia" w:ascii="仿宋_GB2312" w:hAnsi="仿宋_GB2312" w:eastAsia="仿宋_GB2312" w:cs="仿宋_GB2312"/>
          <w:kern w:val="0"/>
          <w:sz w:val="32"/>
          <w:szCs w:val="32"/>
          <w:u w:val="none"/>
          <w:lang w:val="en-US" w:eastAsia="zh-CN"/>
        </w:rPr>
        <w:t>2.城乡社区管理事务（款）城管执法（项）。年初预算0万元，支出决算14.65万元，较年初预算增加14.65万元。决算数与年初预算数的差异原因：根据单位工作开展进度情况，预算调剂调增空港执法中队工作经费项目预算指标14.65万元。</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3.城乡社区管理事务（款）其他城乡社区管理事务支出（项）。年初预算0万元，支出决算65.64万元，较年初预算增加65.64万元。决算数与年初预算数的差异原因：根据单位相关工作开展需要，新增2024年市本级第二批供热保障资金项目预算指标65.64万元。</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ascii="Times New Roman" w:hAnsi="Times New Roman" w:eastAsia="Times New Roman" w:cs="Times New Roman"/>
          <w:kern w:val="0"/>
          <w:sz w:val="24"/>
          <w:u w:val="none"/>
        </w:rPr>
      </w:pPr>
      <w:r>
        <w:rPr>
          <w:rFonts w:hint="eastAsia" w:ascii="仿宋_GB2312" w:hAnsi="仿宋_GB2312" w:eastAsia="仿宋_GB2312" w:cs="仿宋_GB2312"/>
          <w:kern w:val="0"/>
          <w:sz w:val="32"/>
          <w:szCs w:val="32"/>
          <w:u w:val="none"/>
          <w:lang w:val="en-US" w:eastAsia="zh-CN"/>
        </w:rPr>
        <w:t>4．城乡社区公共设施（款）其他城乡社区公共设施支出（项）。年初预算3310万元，支出决算5846.98万元，完成年初预算的176.65%。决算数与年初预算数的差异原因：根据单位相关工作开展需要，新增扫雪除冰车辆设备采购项目预算指标375.61万元、2024年第四批新增地方政府一般债券资金项目预算指标3000万元。</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5．城乡社区环境卫生（款）城乡社区环境卫生（项）。年初预算295万元，支出决算970.12万元，完成年初预算的328.81%。决算数与年初预算数的差异原因：根据单位相关工作开展需要，主要为新增扫雪除冰车辆设备采购项目预算指标96.5万元、2024年第四批新增地方政府一般债券资金项目预算指标600万元。</w:t>
      </w: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八</w:t>
      </w:r>
      <w:r>
        <w:rPr>
          <w:rFonts w:hint="eastAsia" w:ascii="楷体_GB2312" w:hAnsi="楷体_GB2312" w:eastAsia="楷体_GB2312" w:cs="楷体_GB2312"/>
          <w:b w:val="0"/>
          <w:bCs w:val="0"/>
          <w:kern w:val="0"/>
          <w:sz w:val="32"/>
          <w:szCs w:val="32"/>
        </w:rPr>
        <w:t>）交通运输支出（类）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交通运输支出类决算数为711万元，与年初预算相比增加711万元。其中：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公路水路运输（款）口岸建设（项）。年初预算0万元，支出决算711万元，较年初预算增加711万元。决算数与年初预算数的差异原因：根据单位相关工作开展需要，新增2024口岸经济发展专项资金项目预算指标711万元。</w:t>
      </w:r>
    </w:p>
    <w:p>
      <w:pPr>
        <w:pStyle w:val="2"/>
        <w:rPr>
          <w:rFonts w:hint="eastAsia" w:ascii="仿宋_GB2312" w:hAnsi="仿宋_GB2312" w:eastAsia="仿宋_GB2312" w:cs="仿宋_GB2312"/>
          <w:kern w:val="0"/>
          <w:sz w:val="32"/>
          <w:szCs w:val="32"/>
          <w:u w:val="none"/>
          <w:lang w:val="en-US" w:eastAsia="zh-CN"/>
        </w:rPr>
      </w:pPr>
    </w:p>
    <w:p>
      <w:pPr>
        <w:rPr>
          <w:rFonts w:hint="eastAsia"/>
          <w:lang w:val="en-US" w:eastAsia="zh-CN"/>
        </w:rPr>
      </w:pP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九</w:t>
      </w:r>
      <w:r>
        <w:rPr>
          <w:rFonts w:hint="eastAsia" w:ascii="楷体_GB2312" w:hAnsi="楷体_GB2312" w:eastAsia="楷体_GB2312" w:cs="楷体_GB2312"/>
          <w:b w:val="0"/>
          <w:bCs w:val="0"/>
          <w:kern w:val="0"/>
          <w:sz w:val="32"/>
          <w:szCs w:val="32"/>
        </w:rPr>
        <w:t>）资源勘探工业信息等支出（类）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资源勘探工业信息等支出类决算数为54万元，与年初预算相比增加54万元。其中：</w:t>
      </w:r>
    </w:p>
    <w:p>
      <w:pPr>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其他资源勘探工业信息等支出（款）其他资源勘探工业信息等支出（项）。年初预算0万元，支出决算54万元，较年初预算增加54万元。决算数与年初预算数的差异原因：根据单位相关工作开展需要，新增2023年计划外5G基站建设项目预算指标54万元。</w:t>
      </w: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十</w:t>
      </w:r>
      <w:r>
        <w:rPr>
          <w:rFonts w:hint="eastAsia" w:ascii="楷体_GB2312" w:hAnsi="楷体_GB2312" w:eastAsia="楷体_GB2312" w:cs="楷体_GB2312"/>
          <w:b w:val="0"/>
          <w:bCs w:val="0"/>
          <w:kern w:val="0"/>
          <w:sz w:val="32"/>
          <w:szCs w:val="32"/>
        </w:rPr>
        <w:t>）商业服务业等支出（类）</w:t>
      </w:r>
    </w:p>
    <w:p>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商业服务业等支出类决算数为2686.4万元，与年初预算相比增加2638.76万元。其中：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1.涉外发展服务支出（款）其他涉外发展服务支出（项）。年初预算0万元，支出决算667.05万元，较年初预算增加667.05万元。决算数与年初预算数的差异原因：根据单位相关工作开展需要，新增2023年第四批中央外经贸发展专项资金项目预算指标267.05万元、中央外经贸发展专项资金（外贸综合服务企业）项目预算指标100万元和2024年度第三批中央外经贸发展专项资金（外贸提质增效）预算指标300万元。</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2.其他商业服务业等支出（款）其他商业服务业等支出（项）。年初预算47.64万元，支出决算2019.35万元，完成年初预算的4238.77%。决算数与年初预算数的差异原因：根据单位相关工作开展需要，主要为新增2024年综保区产业发展及自贸区申建经费项目预算指标2000万元。</w:t>
      </w: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十一</w:t>
      </w:r>
      <w:r>
        <w:rPr>
          <w:rFonts w:hint="eastAsia" w:ascii="楷体_GB2312" w:hAnsi="楷体_GB2312" w:eastAsia="楷体_GB2312" w:cs="楷体_GB2312"/>
          <w:b w:val="0"/>
          <w:bCs w:val="0"/>
          <w:kern w:val="0"/>
          <w:sz w:val="32"/>
          <w:szCs w:val="32"/>
        </w:rPr>
        <w:t>）自然资源海洋气象等支出（类）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自然资源海洋气象等支出类决算数为20.84万元，与年初预算相比增加20.84万元。其中：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lang w:val="en-US" w:eastAsia="zh-CN"/>
        </w:rPr>
      </w:pPr>
      <w:r>
        <w:rPr>
          <w:rFonts w:hint="eastAsia" w:ascii="仿宋_GB2312" w:hAnsi="仿宋_GB2312" w:eastAsia="仿宋_GB2312" w:cs="仿宋_GB2312"/>
          <w:kern w:val="0"/>
          <w:sz w:val="32"/>
          <w:szCs w:val="32"/>
          <w:u w:val="none"/>
          <w:lang w:val="en-US" w:eastAsia="zh-CN"/>
        </w:rPr>
        <w:t>自然资源事务（款）行政运行（项）。年初预算0万元，支出决算20.84万元，较年初预算增加20.84万元。决算数与年初预算数的差异原因：根据单位工作开展进度情况，新增自然资源局公用经费项目预算指标3.57万元、新增自然资源局印刷装订费目预算指标3万元、新增自然资源局宣传专项项目预算指标4.73万元和新增自然资源局承接权限下放相关设备采购费用项目预算指标9.55万元。</w:t>
      </w:r>
    </w:p>
    <w:p>
      <w:pPr>
        <w:pageBreakBefore w:val="0"/>
        <w:widowControl/>
        <w:kinsoku/>
        <w:wordWrap/>
        <w:overflowPunct/>
        <w:topLinePunct w:val="0"/>
        <w:autoSpaceDE/>
        <w:autoSpaceDN/>
        <w:bidi w:val="0"/>
        <w:adjustRightInd/>
        <w:snapToGrid/>
        <w:spacing w:before="240" w:after="240" w:line="520" w:lineRule="exact"/>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kai_ti_gb2312" w:hAnsi="kai_ti_gb2312" w:eastAsia="宋体" w:cs="kai_ti_gb2312"/>
          <w:b/>
          <w:bCs/>
          <w:kern w:val="0"/>
          <w:sz w:val="27"/>
          <w:szCs w:val="27"/>
          <w:lang w:val="en-US" w:eastAsia="zh-CN"/>
        </w:rPr>
        <w:t xml:space="preserve"> </w:t>
      </w: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十二</w:t>
      </w:r>
      <w:r>
        <w:rPr>
          <w:rFonts w:hint="eastAsia" w:ascii="楷体_GB2312" w:hAnsi="楷体_GB2312" w:eastAsia="楷体_GB2312" w:cs="楷体_GB2312"/>
          <w:b w:val="0"/>
          <w:bCs w:val="0"/>
          <w:kern w:val="0"/>
          <w:sz w:val="32"/>
          <w:szCs w:val="32"/>
        </w:rPr>
        <w:t>）住房保障支出（类）</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ascii="fang_song_gb2312" w:hAnsi="fang_song_gb2312" w:eastAsia="fang_song_gb2312" w:cs="fang_song_gb2312"/>
          <w:kern w:val="0"/>
          <w:sz w:val="27"/>
          <w:szCs w:val="27"/>
        </w:rPr>
        <w:t xml:space="preserve">    </w:t>
      </w:r>
      <w:r>
        <w:rPr>
          <w:rFonts w:hint="eastAsia" w:ascii="fang_song_gb2312" w:hAnsi="fang_song_gb2312" w:eastAsia="宋体" w:cs="fang_song_gb2312"/>
          <w:kern w:val="0"/>
          <w:sz w:val="27"/>
          <w:szCs w:val="27"/>
          <w:lang w:val="en-US" w:eastAsia="zh-CN"/>
        </w:rPr>
        <w:t xml:space="preserve"> </w:t>
      </w:r>
      <w:r>
        <w:rPr>
          <w:rFonts w:hint="eastAsia" w:ascii="仿宋_GB2312" w:hAnsi="仿宋_GB2312" w:eastAsia="仿宋_GB2312" w:cs="仿宋_GB2312"/>
          <w:kern w:val="0"/>
          <w:sz w:val="32"/>
          <w:szCs w:val="32"/>
          <w:u w:val="none"/>
        </w:rPr>
        <w:t>住房保障支出（类）决算数为 55.83万元，与年初预算相比增加0.54万元。其中：</w:t>
      </w:r>
    </w:p>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住房改革支出（款）住房公积金（项）。年初预算</w:t>
      </w:r>
      <w:r>
        <w:rPr>
          <w:rFonts w:hint="eastAsia" w:ascii="仿宋_GB2312" w:hAnsi="仿宋_GB2312" w:eastAsia="仿宋_GB2312" w:cs="仿宋_GB2312"/>
          <w:kern w:val="0"/>
          <w:sz w:val="32"/>
          <w:szCs w:val="32"/>
          <w:u w:val="none"/>
          <w:lang w:val="en-US" w:eastAsia="zh-CN"/>
        </w:rPr>
        <w:t>55.29</w:t>
      </w:r>
      <w:r>
        <w:rPr>
          <w:rFonts w:hint="eastAsia" w:ascii="仿宋_GB2312" w:hAnsi="仿宋_GB2312" w:eastAsia="仿宋_GB2312" w:cs="仿宋_GB2312"/>
          <w:kern w:val="0"/>
          <w:sz w:val="32"/>
          <w:szCs w:val="32"/>
          <w:u w:val="none"/>
        </w:rPr>
        <w:t>，支出决算55.83万元，完成年初预算的</w:t>
      </w:r>
      <w:r>
        <w:rPr>
          <w:rFonts w:hint="eastAsia" w:ascii="仿宋_GB2312" w:hAnsi="仿宋_GB2312" w:eastAsia="仿宋_GB2312" w:cs="仿宋_GB2312"/>
          <w:kern w:val="0"/>
          <w:sz w:val="32"/>
          <w:szCs w:val="32"/>
          <w:u w:val="none"/>
          <w:lang w:val="en-US" w:eastAsia="zh-CN"/>
        </w:rPr>
        <w:t>100.98</w:t>
      </w:r>
      <w:r>
        <w:rPr>
          <w:rFonts w:hint="eastAsia" w:ascii="仿宋_GB2312" w:hAnsi="仿宋_GB2312" w:eastAsia="仿宋_GB2312" w:cs="仿宋_GB2312"/>
          <w:kern w:val="0"/>
          <w:sz w:val="32"/>
          <w:szCs w:val="32"/>
          <w:u w:val="none"/>
        </w:rPr>
        <w:t>%。决算数与年初预算数的差异原因：</w:t>
      </w:r>
      <w:r>
        <w:rPr>
          <w:rFonts w:hint="eastAsia" w:ascii="仿宋_GB2312" w:hAnsi="仿宋_GB2312" w:eastAsia="仿宋_GB2312" w:cs="仿宋_GB2312"/>
          <w:kern w:val="0"/>
          <w:sz w:val="32"/>
          <w:szCs w:val="32"/>
          <w:u w:val="none"/>
          <w:lang w:val="en-US" w:eastAsia="zh-CN"/>
        </w:rPr>
        <w:t>根据单位工作开展进度需要，新增公积金预算项目预算指标。</w:t>
      </w:r>
    </w:p>
    <w:p>
      <w:pPr>
        <w:widowControl/>
        <w:spacing w:before="240" w:after="240"/>
        <w:ind w:firstLine="320" w:firstLineChars="1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w:t>
      </w:r>
      <w:r>
        <w:rPr>
          <w:rFonts w:hint="eastAsia" w:ascii="楷体_GB2312" w:hAnsi="楷体_GB2312" w:eastAsia="楷体_GB2312" w:cs="楷体_GB2312"/>
          <w:b w:val="0"/>
          <w:bCs w:val="0"/>
          <w:kern w:val="0"/>
          <w:sz w:val="32"/>
          <w:szCs w:val="32"/>
          <w:lang w:val="en-US" w:eastAsia="zh-CN"/>
        </w:rPr>
        <w:t>十三</w:t>
      </w:r>
      <w:r>
        <w:rPr>
          <w:rFonts w:hint="eastAsia" w:ascii="楷体_GB2312" w:hAnsi="楷体_GB2312" w:eastAsia="楷体_GB2312" w:cs="楷体_GB2312"/>
          <w:b w:val="0"/>
          <w:bCs w:val="0"/>
          <w:kern w:val="0"/>
          <w:sz w:val="32"/>
          <w:szCs w:val="32"/>
        </w:rPr>
        <w:t>）灾害防治及应急管理支出（类）</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灾害防治及应急管理支出类决算数为 4861.57万元，与年初预算相比增加4719.77万元。其中：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1.应急管理事务（款）安全监管（项）。年初预算140万元，支出决算60.29万元，完成年初预算的43.06%。决算数与年初预算数的差异原因：根据单位工作开展进度情况，生态应急办公共安全（应急管理）专项项目预算指标未使用完毕。</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2.应急管理事务（款）应急管理（项）。年初预算1.8元，支出决算1.28万元，完成年初预算的71.11%。决算数与年初预算数的差异原因：根据单位工作开展进度情况，生态环境和应急管理办公室公用经费项目预算指标未使用完毕。</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default"/>
          <w:lang w:val="en-US" w:eastAsia="zh-CN"/>
        </w:rPr>
      </w:pPr>
      <w:r>
        <w:rPr>
          <w:rFonts w:hint="eastAsia" w:ascii="仿宋_GB2312" w:hAnsi="仿宋_GB2312" w:eastAsia="仿宋_GB2312" w:cs="仿宋_GB2312"/>
          <w:b w:val="0"/>
          <w:bCs w:val="0"/>
          <w:kern w:val="0"/>
          <w:sz w:val="32"/>
          <w:szCs w:val="32"/>
          <w:u w:val="none"/>
          <w:lang w:val="en-US" w:eastAsia="zh-CN" w:bidi="ar-SA"/>
        </w:rPr>
        <w:t>3.其他灾害防治及应急管理支出（款）其他灾害防治及应急管理支出（项）。年初预算0万元，支出决算4800万元，较年初预算增加4800万元。决算数与年初预算数的差异原因：根据单位工作开展进度情况，新增建设管理局应急物资储备库二期建设资金项目预算指标4800万元。</w:t>
      </w:r>
    </w:p>
    <w:p>
      <w:pPr>
        <w:pageBreakBefore w:val="0"/>
        <w:widowControl/>
        <w:kinsoku/>
        <w:wordWrap/>
        <w:overflowPunct/>
        <w:topLinePunct w:val="0"/>
        <w:autoSpaceDE/>
        <w:autoSpaceDN/>
        <w:bidi w:val="0"/>
        <w:adjustRightInd/>
        <w:snapToGrid/>
        <w:spacing w:before="240" w:after="240" w:line="520" w:lineRule="exact"/>
        <w:jc w:val="left"/>
        <w:rPr>
          <w:rFonts w:hint="eastAsia" w:ascii="黑体" w:hAnsi="黑体" w:eastAsia="黑体" w:cs="黑体"/>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b/>
          <w:bCs/>
          <w:kern w:val="0"/>
          <w:sz w:val="32"/>
          <w:szCs w:val="32"/>
        </w:rPr>
        <w:t xml:space="preserve"> 六、一般公共预算财政拨款基本支出决算情况说明</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鄂尔多斯空港物流园区管理委员会部门2024年度一般公共预算财政拨款基本支出决算 1344.15万元，其中：</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ascii="fang_song_gb2312" w:hAnsi="fang_song_gb2312" w:eastAsia="fang_song_gb2312" w:cs="fang_song_gb2312"/>
          <w:b/>
          <w:bCs/>
          <w:kern w:val="0"/>
          <w:sz w:val="27"/>
          <w:szCs w:val="27"/>
          <w:u w:val="none"/>
        </w:rPr>
        <w:t xml:space="preserve">    </w:t>
      </w:r>
      <w:r>
        <w:rPr>
          <w:rFonts w:hint="eastAsia" w:ascii="楷体_GB2312" w:hAnsi="楷体_GB2312" w:eastAsia="楷体_GB2312" w:cs="楷体_GB2312"/>
          <w:b w:val="0"/>
          <w:bCs w:val="0"/>
          <w:kern w:val="0"/>
          <w:sz w:val="32"/>
          <w:szCs w:val="32"/>
          <w:u w:val="none"/>
        </w:rPr>
        <w:t>（一）人员经费 731.73万元。</w:t>
      </w:r>
      <w:r>
        <w:rPr>
          <w:rFonts w:hint="eastAsia" w:ascii="仿宋_GB2312" w:hAnsi="仿宋_GB2312" w:eastAsia="仿宋_GB2312" w:cs="仿宋_GB2312"/>
          <w:kern w:val="0"/>
          <w:sz w:val="32"/>
          <w:szCs w:val="32"/>
          <w:u w:val="none"/>
        </w:rPr>
        <w:t>主要包括：基本工资</w:t>
      </w:r>
      <w:r>
        <w:rPr>
          <w:rFonts w:hint="eastAsia" w:ascii="仿宋_GB2312" w:hAnsi="仿宋_GB2312" w:eastAsia="仿宋_GB2312" w:cs="仿宋_GB2312"/>
          <w:kern w:val="0"/>
          <w:sz w:val="32"/>
          <w:szCs w:val="32"/>
          <w:u w:val="none"/>
          <w:lang w:val="en-US" w:eastAsia="zh-CN"/>
        </w:rPr>
        <w:t>147.9万元</w:t>
      </w:r>
      <w:r>
        <w:rPr>
          <w:rFonts w:hint="eastAsia" w:ascii="仿宋_GB2312" w:hAnsi="仿宋_GB2312" w:eastAsia="仿宋_GB2312" w:cs="仿宋_GB2312"/>
          <w:kern w:val="0"/>
          <w:sz w:val="32"/>
          <w:szCs w:val="32"/>
          <w:u w:val="none"/>
        </w:rPr>
        <w:t>、津贴补贴</w:t>
      </w:r>
      <w:r>
        <w:rPr>
          <w:rFonts w:hint="eastAsia" w:ascii="仿宋_GB2312" w:hAnsi="仿宋_GB2312" w:eastAsia="仿宋_GB2312" w:cs="仿宋_GB2312"/>
          <w:kern w:val="0"/>
          <w:sz w:val="32"/>
          <w:szCs w:val="32"/>
          <w:u w:val="none"/>
          <w:lang w:val="en-US" w:eastAsia="zh-CN"/>
        </w:rPr>
        <w:t>187.73万元</w:t>
      </w:r>
      <w:r>
        <w:rPr>
          <w:rFonts w:hint="eastAsia" w:ascii="仿宋_GB2312" w:hAnsi="仿宋_GB2312" w:eastAsia="仿宋_GB2312" w:cs="仿宋_GB2312"/>
          <w:kern w:val="0"/>
          <w:sz w:val="32"/>
          <w:szCs w:val="32"/>
          <w:u w:val="none"/>
        </w:rPr>
        <w:t>、奖金27.26</w:t>
      </w:r>
      <w:r>
        <w:rPr>
          <w:rFonts w:hint="eastAsia" w:ascii="仿宋_GB2312" w:hAnsi="仿宋_GB2312" w:eastAsia="仿宋_GB2312" w:cs="仿宋_GB2312"/>
          <w:kern w:val="0"/>
          <w:sz w:val="32"/>
          <w:szCs w:val="32"/>
          <w:u w:val="none"/>
          <w:lang w:val="en-US" w:eastAsia="zh-CN"/>
        </w:rPr>
        <w:t>万元</w:t>
      </w:r>
      <w:r>
        <w:rPr>
          <w:rFonts w:hint="eastAsia" w:ascii="仿宋_GB2312" w:hAnsi="仿宋_GB2312" w:eastAsia="仿宋_GB2312" w:cs="仿宋_GB2312"/>
          <w:kern w:val="0"/>
          <w:sz w:val="32"/>
          <w:szCs w:val="32"/>
          <w:u w:val="none"/>
        </w:rPr>
        <w:t>、绩效工资</w:t>
      </w:r>
      <w:r>
        <w:rPr>
          <w:rFonts w:hint="eastAsia" w:ascii="仿宋_GB2312" w:hAnsi="仿宋_GB2312" w:eastAsia="仿宋_GB2312" w:cs="仿宋_GB2312"/>
          <w:kern w:val="0"/>
          <w:sz w:val="32"/>
          <w:szCs w:val="32"/>
          <w:u w:val="none"/>
          <w:lang w:val="en-US" w:eastAsia="zh-CN"/>
        </w:rPr>
        <w:t>80.87万元、</w:t>
      </w:r>
      <w:r>
        <w:rPr>
          <w:rFonts w:hint="eastAsia" w:ascii="仿宋_GB2312" w:hAnsi="仿宋_GB2312" w:eastAsia="仿宋_GB2312" w:cs="仿宋_GB2312"/>
          <w:kern w:val="0"/>
          <w:sz w:val="32"/>
          <w:szCs w:val="32"/>
          <w:u w:val="none"/>
        </w:rPr>
        <w:t>机关事业单位基本养老保险缴费</w:t>
      </w:r>
      <w:r>
        <w:rPr>
          <w:rFonts w:hint="eastAsia" w:ascii="仿宋_GB2312" w:hAnsi="仿宋_GB2312" w:eastAsia="仿宋_GB2312" w:cs="仿宋_GB2312"/>
          <w:kern w:val="0"/>
          <w:sz w:val="32"/>
          <w:szCs w:val="32"/>
          <w:u w:val="none"/>
          <w:lang w:val="en-US" w:eastAsia="zh-CN"/>
        </w:rPr>
        <w:t>52.71万元、职业年金缴费0.88万元 、职工基本医疗保险缴费20.89万元、公务员医疗补助缴费7.18万元、其他社会保障缴费7.42万元、住房公积金55.83万元、</w:t>
      </w:r>
      <w:r>
        <w:rPr>
          <w:rFonts w:hint="eastAsia" w:ascii="仿宋_GB2312" w:hAnsi="仿宋_GB2312" w:eastAsia="仿宋_GB2312" w:cs="仿宋_GB2312"/>
          <w:kern w:val="0"/>
          <w:sz w:val="32"/>
          <w:szCs w:val="32"/>
          <w:u w:val="none"/>
        </w:rPr>
        <w:t>其他工资福利支出140.53</w:t>
      </w:r>
      <w:r>
        <w:rPr>
          <w:rFonts w:hint="eastAsia" w:ascii="仿宋_GB2312" w:hAnsi="仿宋_GB2312" w:eastAsia="仿宋_GB2312" w:cs="仿宋_GB2312"/>
          <w:kern w:val="0"/>
          <w:sz w:val="32"/>
          <w:szCs w:val="32"/>
          <w:u w:val="none"/>
          <w:lang w:val="en-US" w:eastAsia="zh-CN"/>
        </w:rPr>
        <w:t>万元、</w:t>
      </w:r>
      <w:r>
        <w:rPr>
          <w:rFonts w:hint="eastAsia" w:ascii="仿宋_GB2312" w:hAnsi="仿宋_GB2312" w:eastAsia="仿宋_GB2312" w:cs="仿宋_GB2312"/>
          <w:kern w:val="0"/>
          <w:sz w:val="32"/>
          <w:szCs w:val="32"/>
          <w:u w:val="none"/>
        </w:rPr>
        <w:t>退休费</w:t>
      </w:r>
      <w:r>
        <w:rPr>
          <w:rFonts w:hint="eastAsia" w:ascii="仿宋_GB2312" w:hAnsi="仿宋_GB2312" w:eastAsia="仿宋_GB2312" w:cs="仿宋_GB2312"/>
          <w:kern w:val="0"/>
          <w:sz w:val="32"/>
          <w:szCs w:val="32"/>
          <w:u w:val="none"/>
          <w:lang w:val="en-US" w:eastAsia="zh-CN"/>
        </w:rPr>
        <w:t>2.52万元</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rPr>
      </w:pPr>
      <w:r>
        <w:rPr>
          <w:rFonts w:ascii="fang_song_gb2312" w:hAnsi="fang_song_gb2312" w:eastAsia="fang_song_gb2312" w:cs="fang_song_gb2312"/>
          <w:b/>
          <w:bCs/>
          <w:kern w:val="0"/>
          <w:sz w:val="27"/>
          <w:szCs w:val="27"/>
          <w:u w:val="none"/>
        </w:rPr>
        <w:t xml:space="preserve">    </w:t>
      </w:r>
      <w:r>
        <w:rPr>
          <w:rFonts w:hint="eastAsia" w:ascii="楷体_GB2312" w:hAnsi="楷体_GB2312" w:eastAsia="楷体_GB2312" w:cs="楷体_GB2312"/>
          <w:b w:val="0"/>
          <w:bCs w:val="0"/>
          <w:kern w:val="0"/>
          <w:sz w:val="32"/>
          <w:szCs w:val="32"/>
          <w:u w:val="none"/>
        </w:rPr>
        <w:t>（二）公用经费 612.43万元。</w:t>
      </w:r>
      <w:r>
        <w:rPr>
          <w:rFonts w:hint="eastAsia" w:ascii="仿宋_GB2312" w:hAnsi="仿宋_GB2312" w:eastAsia="仿宋_GB2312" w:cs="仿宋_GB2312"/>
          <w:kern w:val="0"/>
          <w:sz w:val="32"/>
          <w:szCs w:val="32"/>
          <w:u w:val="none"/>
        </w:rPr>
        <w:t>主要包括：办公费</w:t>
      </w:r>
      <w:r>
        <w:rPr>
          <w:rFonts w:hint="eastAsia" w:ascii="仿宋_GB2312" w:hAnsi="仿宋_GB2312" w:eastAsia="仿宋_GB2312" w:cs="仿宋_GB2312"/>
          <w:kern w:val="0"/>
          <w:sz w:val="32"/>
          <w:szCs w:val="32"/>
          <w:u w:val="none"/>
          <w:lang w:val="en-US" w:eastAsia="zh-CN"/>
        </w:rPr>
        <w:t>40.85万元</w:t>
      </w:r>
      <w:r>
        <w:rPr>
          <w:rFonts w:hint="eastAsia" w:ascii="仿宋_GB2312" w:hAnsi="仿宋_GB2312" w:eastAsia="仿宋_GB2312" w:cs="仿宋_GB2312"/>
          <w:kern w:val="0"/>
          <w:sz w:val="32"/>
          <w:szCs w:val="32"/>
          <w:u w:val="none"/>
        </w:rPr>
        <w:t>、印刷费</w:t>
      </w:r>
      <w:r>
        <w:rPr>
          <w:rFonts w:hint="eastAsia" w:ascii="仿宋_GB2312" w:hAnsi="仿宋_GB2312" w:eastAsia="仿宋_GB2312" w:cs="仿宋_GB2312"/>
          <w:kern w:val="0"/>
          <w:sz w:val="32"/>
          <w:szCs w:val="32"/>
          <w:u w:val="none"/>
          <w:lang w:val="en-US" w:eastAsia="zh-CN"/>
        </w:rPr>
        <w:t>0.72万元</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水费</w:t>
      </w:r>
      <w:r>
        <w:rPr>
          <w:rFonts w:hint="eastAsia" w:ascii="仿宋_GB2312" w:hAnsi="仿宋_GB2312" w:eastAsia="仿宋_GB2312" w:cs="仿宋_GB2312"/>
          <w:kern w:val="0"/>
          <w:sz w:val="32"/>
          <w:szCs w:val="32"/>
          <w:u w:val="none"/>
          <w:lang w:val="en-US" w:eastAsia="zh-CN"/>
        </w:rPr>
        <w:t>2.3万元</w:t>
      </w:r>
      <w:r>
        <w:rPr>
          <w:rFonts w:hint="eastAsia" w:ascii="仿宋_GB2312" w:hAnsi="仿宋_GB2312" w:eastAsia="仿宋_GB2312" w:cs="仿宋_GB2312"/>
          <w:kern w:val="0"/>
          <w:sz w:val="32"/>
          <w:szCs w:val="32"/>
          <w:u w:val="none"/>
        </w:rPr>
        <w:t>、邮电费</w:t>
      </w:r>
      <w:r>
        <w:rPr>
          <w:rFonts w:hint="eastAsia" w:ascii="仿宋_GB2312" w:hAnsi="仿宋_GB2312" w:eastAsia="仿宋_GB2312" w:cs="仿宋_GB2312"/>
          <w:kern w:val="0"/>
          <w:sz w:val="32"/>
          <w:szCs w:val="32"/>
          <w:u w:val="none"/>
          <w:lang w:val="en-US" w:eastAsia="zh-CN"/>
        </w:rPr>
        <w:t>4.03万元</w:t>
      </w:r>
      <w:r>
        <w:rPr>
          <w:rFonts w:hint="eastAsia" w:ascii="仿宋_GB2312" w:hAnsi="仿宋_GB2312" w:eastAsia="仿宋_GB2312" w:cs="仿宋_GB2312"/>
          <w:kern w:val="0"/>
          <w:sz w:val="32"/>
          <w:szCs w:val="32"/>
          <w:u w:val="none"/>
        </w:rPr>
        <w:t>、取暖费</w:t>
      </w:r>
      <w:r>
        <w:rPr>
          <w:rFonts w:hint="eastAsia" w:ascii="仿宋_GB2312" w:hAnsi="仿宋_GB2312" w:eastAsia="仿宋_GB2312" w:cs="仿宋_GB2312"/>
          <w:kern w:val="0"/>
          <w:sz w:val="32"/>
          <w:szCs w:val="32"/>
          <w:u w:val="none"/>
          <w:lang w:val="en-US" w:eastAsia="zh-CN"/>
        </w:rPr>
        <w:t>61.06万元</w:t>
      </w:r>
      <w:r>
        <w:rPr>
          <w:rFonts w:hint="eastAsia" w:ascii="仿宋_GB2312" w:hAnsi="仿宋_GB2312" w:eastAsia="仿宋_GB2312" w:cs="仿宋_GB2312"/>
          <w:kern w:val="0"/>
          <w:sz w:val="32"/>
          <w:szCs w:val="32"/>
          <w:u w:val="none"/>
        </w:rPr>
        <w:t>、物业管理费</w:t>
      </w:r>
      <w:r>
        <w:rPr>
          <w:rFonts w:hint="eastAsia" w:ascii="仿宋_GB2312" w:hAnsi="仿宋_GB2312" w:eastAsia="仿宋_GB2312" w:cs="仿宋_GB2312"/>
          <w:kern w:val="0"/>
          <w:sz w:val="32"/>
          <w:szCs w:val="32"/>
          <w:u w:val="none"/>
          <w:lang w:val="en-US" w:eastAsia="zh-CN"/>
        </w:rPr>
        <w:t>151.74万元</w:t>
      </w:r>
      <w:r>
        <w:rPr>
          <w:rFonts w:hint="eastAsia" w:ascii="仿宋_GB2312" w:hAnsi="仿宋_GB2312" w:eastAsia="仿宋_GB2312" w:cs="仿宋_GB2312"/>
          <w:kern w:val="0"/>
          <w:sz w:val="32"/>
          <w:szCs w:val="32"/>
          <w:u w:val="none"/>
        </w:rPr>
        <w:t>、差旅费</w:t>
      </w:r>
      <w:r>
        <w:rPr>
          <w:rFonts w:hint="eastAsia" w:ascii="仿宋_GB2312" w:hAnsi="仿宋_GB2312" w:eastAsia="仿宋_GB2312" w:cs="仿宋_GB2312"/>
          <w:kern w:val="0"/>
          <w:sz w:val="32"/>
          <w:szCs w:val="32"/>
          <w:u w:val="none"/>
          <w:lang w:val="en-US" w:eastAsia="zh-CN"/>
        </w:rPr>
        <w:t>6.71万元</w:t>
      </w:r>
      <w:r>
        <w:rPr>
          <w:rFonts w:hint="eastAsia" w:ascii="仿宋_GB2312" w:hAnsi="仿宋_GB2312" w:eastAsia="仿宋_GB2312" w:cs="仿宋_GB2312"/>
          <w:kern w:val="0"/>
          <w:sz w:val="32"/>
          <w:szCs w:val="32"/>
          <w:u w:val="none"/>
        </w:rPr>
        <w:t>、维修（护）费</w:t>
      </w:r>
      <w:r>
        <w:rPr>
          <w:rFonts w:hint="eastAsia" w:ascii="仿宋_GB2312" w:hAnsi="仿宋_GB2312" w:eastAsia="仿宋_GB2312" w:cs="仿宋_GB2312"/>
          <w:kern w:val="0"/>
          <w:sz w:val="32"/>
          <w:szCs w:val="32"/>
          <w:u w:val="none"/>
          <w:lang w:val="en-US" w:eastAsia="zh-CN"/>
        </w:rPr>
        <w:t>3.87万元</w:t>
      </w:r>
      <w:r>
        <w:rPr>
          <w:rFonts w:hint="eastAsia" w:ascii="仿宋_GB2312" w:hAnsi="仿宋_GB2312" w:eastAsia="仿宋_GB2312" w:cs="仿宋_GB2312"/>
          <w:kern w:val="0"/>
          <w:sz w:val="32"/>
          <w:szCs w:val="32"/>
          <w:u w:val="none"/>
        </w:rPr>
        <w:t>、租赁费</w:t>
      </w:r>
      <w:r>
        <w:rPr>
          <w:rFonts w:hint="eastAsia" w:ascii="仿宋_GB2312" w:hAnsi="仿宋_GB2312" w:eastAsia="仿宋_GB2312" w:cs="仿宋_GB2312"/>
          <w:kern w:val="0"/>
          <w:sz w:val="32"/>
          <w:szCs w:val="32"/>
          <w:u w:val="none"/>
          <w:lang w:val="en-US" w:eastAsia="zh-CN"/>
        </w:rPr>
        <w:t>267.92万元</w:t>
      </w:r>
      <w:r>
        <w:rPr>
          <w:rFonts w:hint="eastAsia" w:ascii="仿宋_GB2312" w:hAnsi="仿宋_GB2312" w:eastAsia="仿宋_GB2312" w:cs="仿宋_GB2312"/>
          <w:kern w:val="0"/>
          <w:sz w:val="32"/>
          <w:szCs w:val="32"/>
          <w:u w:val="none"/>
        </w:rPr>
        <w:t>、</w:t>
      </w:r>
      <w:r>
        <w:rPr>
          <w:rFonts w:hint="eastAsia" w:ascii="仿宋_GB2312" w:hAnsi="仿宋_GB2312" w:eastAsia="仿宋_GB2312" w:cs="仿宋_GB2312"/>
          <w:kern w:val="0"/>
          <w:sz w:val="32"/>
          <w:szCs w:val="32"/>
          <w:u w:val="none"/>
          <w:lang w:val="en-US" w:eastAsia="zh-CN"/>
        </w:rPr>
        <w:t>会议费0.12万元、</w:t>
      </w:r>
      <w:r>
        <w:rPr>
          <w:rFonts w:hint="eastAsia" w:ascii="仿宋_GB2312" w:hAnsi="仿宋_GB2312" w:eastAsia="仿宋_GB2312" w:cs="仿宋_GB2312"/>
          <w:kern w:val="0"/>
          <w:sz w:val="32"/>
          <w:szCs w:val="32"/>
          <w:u w:val="none"/>
        </w:rPr>
        <w:t>公务接待费</w:t>
      </w:r>
      <w:r>
        <w:rPr>
          <w:rFonts w:hint="eastAsia" w:ascii="仿宋_GB2312" w:hAnsi="仿宋_GB2312" w:eastAsia="仿宋_GB2312" w:cs="仿宋_GB2312"/>
          <w:kern w:val="0"/>
          <w:sz w:val="32"/>
          <w:szCs w:val="32"/>
          <w:u w:val="none"/>
          <w:lang w:val="en-US" w:eastAsia="zh-CN"/>
        </w:rPr>
        <w:t>29.78万元</w:t>
      </w:r>
      <w:r>
        <w:rPr>
          <w:rFonts w:hint="eastAsia" w:ascii="仿宋_GB2312" w:hAnsi="仿宋_GB2312" w:eastAsia="仿宋_GB2312" w:cs="仿宋_GB2312"/>
          <w:kern w:val="0"/>
          <w:sz w:val="32"/>
          <w:szCs w:val="32"/>
          <w:u w:val="none"/>
        </w:rPr>
        <w:t>、劳务费</w:t>
      </w:r>
      <w:r>
        <w:rPr>
          <w:rFonts w:hint="eastAsia" w:ascii="仿宋_GB2312" w:hAnsi="仿宋_GB2312" w:eastAsia="仿宋_GB2312" w:cs="仿宋_GB2312"/>
          <w:kern w:val="0"/>
          <w:sz w:val="32"/>
          <w:szCs w:val="32"/>
          <w:u w:val="none"/>
          <w:lang w:val="en-US" w:eastAsia="zh-CN"/>
        </w:rPr>
        <w:t>0.04万元</w:t>
      </w:r>
      <w:r>
        <w:rPr>
          <w:rFonts w:hint="eastAsia" w:ascii="仿宋_GB2312" w:hAnsi="仿宋_GB2312" w:eastAsia="仿宋_GB2312" w:cs="仿宋_GB2312"/>
          <w:kern w:val="0"/>
          <w:sz w:val="32"/>
          <w:szCs w:val="32"/>
          <w:u w:val="none"/>
        </w:rPr>
        <w:t>、工会经费</w:t>
      </w:r>
      <w:r>
        <w:rPr>
          <w:rFonts w:hint="eastAsia" w:ascii="仿宋_GB2312" w:hAnsi="仿宋_GB2312" w:eastAsia="仿宋_GB2312" w:cs="仿宋_GB2312"/>
          <w:kern w:val="0"/>
          <w:sz w:val="32"/>
          <w:szCs w:val="32"/>
          <w:u w:val="none"/>
          <w:lang w:val="en-US" w:eastAsia="zh-CN"/>
        </w:rPr>
        <w:t>10.56万元、福利费7.51万元、</w:t>
      </w:r>
      <w:r>
        <w:rPr>
          <w:rFonts w:hint="eastAsia" w:ascii="仿宋_GB2312" w:hAnsi="仿宋_GB2312" w:eastAsia="仿宋_GB2312" w:cs="仿宋_GB2312"/>
          <w:kern w:val="0"/>
          <w:sz w:val="32"/>
          <w:szCs w:val="32"/>
          <w:u w:val="none"/>
        </w:rPr>
        <w:t>公务用车运行维护费</w:t>
      </w:r>
      <w:r>
        <w:rPr>
          <w:rFonts w:hint="eastAsia" w:ascii="仿宋_GB2312" w:hAnsi="仿宋_GB2312" w:eastAsia="仿宋_GB2312" w:cs="仿宋_GB2312"/>
          <w:kern w:val="0"/>
          <w:sz w:val="32"/>
          <w:szCs w:val="32"/>
          <w:u w:val="none"/>
          <w:lang w:val="en-US" w:eastAsia="zh-CN"/>
        </w:rPr>
        <w:t>12.58万元</w:t>
      </w:r>
      <w:r>
        <w:rPr>
          <w:rFonts w:hint="eastAsia" w:ascii="仿宋_GB2312" w:hAnsi="仿宋_GB2312" w:eastAsia="仿宋_GB2312" w:cs="仿宋_GB2312"/>
          <w:kern w:val="0"/>
          <w:sz w:val="32"/>
          <w:szCs w:val="32"/>
          <w:u w:val="none"/>
        </w:rPr>
        <w:t>、其他交通费用</w:t>
      </w:r>
      <w:r>
        <w:rPr>
          <w:rFonts w:hint="eastAsia" w:ascii="仿宋_GB2312" w:hAnsi="仿宋_GB2312" w:eastAsia="仿宋_GB2312" w:cs="仿宋_GB2312"/>
          <w:kern w:val="0"/>
          <w:sz w:val="32"/>
          <w:szCs w:val="32"/>
          <w:u w:val="none"/>
          <w:lang w:val="en-US" w:eastAsia="zh-CN"/>
        </w:rPr>
        <w:t>11.88万元</w:t>
      </w:r>
      <w:r>
        <w:rPr>
          <w:rFonts w:hint="eastAsia" w:ascii="仿宋_GB2312" w:hAnsi="仿宋_GB2312" w:eastAsia="仿宋_GB2312" w:cs="仿宋_GB2312"/>
          <w:kern w:val="0"/>
          <w:sz w:val="32"/>
          <w:szCs w:val="32"/>
          <w:u w:val="none"/>
        </w:rPr>
        <w:t>、其他商品和服务支出</w:t>
      </w:r>
      <w:r>
        <w:rPr>
          <w:rFonts w:hint="eastAsia" w:ascii="仿宋_GB2312" w:hAnsi="仿宋_GB2312" w:eastAsia="仿宋_GB2312" w:cs="仿宋_GB2312"/>
          <w:kern w:val="0"/>
          <w:sz w:val="32"/>
          <w:szCs w:val="32"/>
          <w:u w:val="none"/>
          <w:lang w:val="en-US" w:eastAsia="zh-CN"/>
        </w:rPr>
        <w:t>0.24万元</w:t>
      </w:r>
      <w:r>
        <w:rPr>
          <w:rFonts w:hint="eastAsia" w:ascii="仿宋_GB2312" w:hAnsi="仿宋_GB2312" w:eastAsia="仿宋_GB2312" w:cs="仿宋_GB2312"/>
          <w:kern w:val="0"/>
          <w:sz w:val="32"/>
          <w:szCs w:val="32"/>
          <w:u w:val="none"/>
        </w:rPr>
        <w:t>、办公设备购置</w:t>
      </w:r>
      <w:r>
        <w:rPr>
          <w:rFonts w:hint="eastAsia" w:ascii="仿宋_GB2312" w:hAnsi="仿宋_GB2312" w:eastAsia="仿宋_GB2312" w:cs="仿宋_GB2312"/>
          <w:kern w:val="0"/>
          <w:sz w:val="32"/>
          <w:szCs w:val="32"/>
          <w:u w:val="none"/>
          <w:lang w:val="en-US" w:eastAsia="zh-CN"/>
        </w:rPr>
        <w:t>0.5万元</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jc w:val="left"/>
        <w:rPr>
          <w:rFonts w:ascii="Times New Roman" w:hAnsi="Times New Roman" w:eastAsia="Times New Roman" w:cs="Times New Roman"/>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val="0"/>
          <w:bCs w:val="0"/>
          <w:kern w:val="0"/>
          <w:sz w:val="32"/>
          <w:szCs w:val="32"/>
        </w:rPr>
        <w:t xml:space="preserve"> 七、一般公共预算财政拨款项目支出决算情况说明</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鄂尔多斯空港物流园区管理委员会部门2024年度一般公共预算财政拨款项目支出决算18658.36万元，其中：</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ascii="fang_song_gb2312" w:hAnsi="fang_song_gb2312" w:eastAsia="fang_song_gb2312" w:cs="fang_song_gb2312"/>
          <w:b/>
          <w:bCs/>
          <w:kern w:val="0"/>
          <w:sz w:val="27"/>
          <w:szCs w:val="27"/>
          <w:u w:val="none"/>
        </w:rPr>
        <w:t xml:space="preserve">    </w:t>
      </w:r>
      <w:r>
        <w:rPr>
          <w:rFonts w:hint="eastAsia" w:ascii="楷体_GB2312" w:hAnsi="楷体_GB2312" w:eastAsia="楷体_GB2312" w:cs="楷体_GB2312"/>
          <w:b w:val="0"/>
          <w:bCs w:val="0"/>
          <w:kern w:val="0"/>
          <w:sz w:val="32"/>
          <w:szCs w:val="32"/>
          <w:u w:val="none"/>
        </w:rPr>
        <w:t>（一）工资福利支出</w:t>
      </w:r>
      <w:r>
        <w:rPr>
          <w:rFonts w:hint="eastAsia" w:ascii="楷体_GB2312" w:hAnsi="楷体_GB2312" w:eastAsia="楷体_GB2312" w:cs="楷体_GB2312"/>
          <w:b w:val="0"/>
          <w:bCs w:val="0"/>
          <w:kern w:val="0"/>
          <w:sz w:val="32"/>
          <w:szCs w:val="32"/>
          <w:u w:val="none"/>
          <w:lang w:val="en-US" w:eastAsia="zh-CN"/>
        </w:rPr>
        <w:t>2.5</w:t>
      </w:r>
      <w:r>
        <w:rPr>
          <w:rFonts w:hint="eastAsia" w:ascii="楷体_GB2312" w:hAnsi="楷体_GB2312" w:eastAsia="楷体_GB2312" w:cs="楷体_GB2312"/>
          <w:b w:val="0"/>
          <w:bCs w:val="0"/>
          <w:kern w:val="0"/>
          <w:sz w:val="32"/>
          <w:szCs w:val="32"/>
          <w:u w:val="none"/>
        </w:rPr>
        <w:t>万元。</w:t>
      </w:r>
      <w:r>
        <w:rPr>
          <w:rFonts w:hint="eastAsia" w:ascii="仿宋_GB2312" w:hAnsi="仿宋_GB2312" w:eastAsia="仿宋_GB2312" w:cs="仿宋_GB2312"/>
          <w:kern w:val="0"/>
          <w:sz w:val="32"/>
          <w:szCs w:val="32"/>
          <w:u w:val="none"/>
        </w:rPr>
        <w:t>主要包括：奖金</w:t>
      </w:r>
      <w:r>
        <w:rPr>
          <w:rFonts w:hint="eastAsia" w:ascii="仿宋_GB2312" w:hAnsi="仿宋_GB2312" w:eastAsia="仿宋_GB2312" w:cs="仿宋_GB2312"/>
          <w:kern w:val="0"/>
          <w:sz w:val="32"/>
          <w:szCs w:val="32"/>
          <w:u w:val="none"/>
          <w:lang w:val="en-US" w:eastAsia="zh-CN"/>
        </w:rPr>
        <w:t>2.5万元，主要为2024年度管委会先进工作者奖励</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482"/>
        <w:rPr>
          <w:rFonts w:hint="eastAsia" w:ascii="仿宋_GB2312" w:hAnsi="仿宋_GB2312" w:eastAsia="仿宋_GB2312" w:cs="仿宋_GB2312"/>
          <w:kern w:val="0"/>
          <w:sz w:val="32"/>
          <w:szCs w:val="32"/>
          <w:u w:val="none"/>
        </w:rPr>
      </w:pPr>
      <w:r>
        <w:rPr>
          <w:rFonts w:hint="eastAsia" w:ascii="楷体_GB2312" w:hAnsi="楷体_GB2312" w:eastAsia="楷体_GB2312" w:cs="楷体_GB2312"/>
          <w:b w:val="0"/>
          <w:bCs w:val="0"/>
          <w:kern w:val="0"/>
          <w:sz w:val="32"/>
          <w:szCs w:val="32"/>
          <w:u w:val="none"/>
        </w:rPr>
        <w:t>（二）商品和服务支出3935.25万元。</w:t>
      </w:r>
      <w:r>
        <w:rPr>
          <w:rFonts w:hint="eastAsia" w:ascii="仿宋_GB2312" w:hAnsi="仿宋_GB2312" w:eastAsia="仿宋_GB2312" w:cs="仿宋_GB2312"/>
          <w:kern w:val="0"/>
          <w:sz w:val="32"/>
          <w:szCs w:val="32"/>
          <w:u w:val="none"/>
        </w:rPr>
        <w:t>主要包括：办公费39.93</w:t>
      </w:r>
      <w:r>
        <w:rPr>
          <w:rFonts w:hint="eastAsia" w:ascii="仿宋_GB2312" w:hAnsi="仿宋_GB2312" w:eastAsia="仿宋_GB2312" w:cs="仿宋_GB2312"/>
          <w:kern w:val="0"/>
          <w:sz w:val="32"/>
          <w:szCs w:val="32"/>
          <w:u w:val="none"/>
          <w:lang w:val="en-US" w:eastAsia="zh-CN"/>
        </w:rPr>
        <w:t>万元</w:t>
      </w:r>
      <w:r>
        <w:rPr>
          <w:rFonts w:hint="eastAsia" w:ascii="仿宋_GB2312" w:hAnsi="仿宋_GB2312" w:eastAsia="仿宋_GB2312" w:cs="仿宋_GB2312"/>
          <w:kern w:val="0"/>
          <w:sz w:val="32"/>
          <w:szCs w:val="32"/>
          <w:u w:val="none"/>
        </w:rPr>
        <w:t>、印刷费</w:t>
      </w:r>
      <w:r>
        <w:rPr>
          <w:rFonts w:hint="eastAsia" w:ascii="仿宋_GB2312" w:hAnsi="仿宋_GB2312" w:eastAsia="仿宋_GB2312" w:cs="仿宋_GB2312"/>
          <w:kern w:val="0"/>
          <w:sz w:val="32"/>
          <w:szCs w:val="32"/>
          <w:u w:val="none"/>
          <w:lang w:val="en-US" w:eastAsia="zh-CN"/>
        </w:rPr>
        <w:t>15.27万元</w:t>
      </w:r>
      <w:r>
        <w:rPr>
          <w:rFonts w:hint="eastAsia" w:ascii="仿宋_GB2312" w:hAnsi="仿宋_GB2312" w:eastAsia="仿宋_GB2312" w:cs="仿宋_GB2312"/>
          <w:kern w:val="0"/>
          <w:sz w:val="32"/>
          <w:szCs w:val="32"/>
          <w:u w:val="none"/>
        </w:rPr>
        <w:t>、水费</w:t>
      </w:r>
      <w:r>
        <w:rPr>
          <w:rFonts w:hint="eastAsia" w:ascii="仿宋_GB2312" w:hAnsi="仿宋_GB2312" w:eastAsia="仿宋_GB2312" w:cs="仿宋_GB2312"/>
          <w:kern w:val="0"/>
          <w:sz w:val="32"/>
          <w:szCs w:val="32"/>
          <w:u w:val="none"/>
          <w:lang w:val="en-US" w:eastAsia="zh-CN"/>
        </w:rPr>
        <w:t>50万元</w:t>
      </w:r>
      <w:r>
        <w:rPr>
          <w:rFonts w:hint="eastAsia" w:ascii="仿宋_GB2312" w:hAnsi="仿宋_GB2312" w:eastAsia="仿宋_GB2312" w:cs="仿宋_GB2312"/>
          <w:kern w:val="0"/>
          <w:sz w:val="32"/>
          <w:szCs w:val="32"/>
          <w:u w:val="none"/>
        </w:rPr>
        <w:t>、电费</w:t>
      </w:r>
      <w:r>
        <w:rPr>
          <w:rFonts w:hint="eastAsia" w:ascii="仿宋_GB2312" w:hAnsi="仿宋_GB2312" w:eastAsia="仿宋_GB2312" w:cs="仿宋_GB2312"/>
          <w:kern w:val="0"/>
          <w:sz w:val="32"/>
          <w:szCs w:val="32"/>
          <w:u w:val="none"/>
          <w:lang w:val="en-US" w:eastAsia="zh-CN"/>
        </w:rPr>
        <w:t>121.8万元</w:t>
      </w:r>
      <w:r>
        <w:rPr>
          <w:rFonts w:hint="eastAsia" w:ascii="仿宋_GB2312" w:hAnsi="仿宋_GB2312" w:eastAsia="仿宋_GB2312" w:cs="仿宋_GB2312"/>
          <w:kern w:val="0"/>
          <w:sz w:val="32"/>
          <w:szCs w:val="32"/>
          <w:u w:val="none"/>
        </w:rPr>
        <w:t>、邮电费</w:t>
      </w:r>
      <w:r>
        <w:rPr>
          <w:rFonts w:hint="eastAsia" w:ascii="仿宋_GB2312" w:hAnsi="仿宋_GB2312" w:eastAsia="仿宋_GB2312" w:cs="仿宋_GB2312"/>
          <w:kern w:val="0"/>
          <w:sz w:val="32"/>
          <w:szCs w:val="32"/>
          <w:u w:val="none"/>
          <w:lang w:val="en-US" w:eastAsia="zh-CN"/>
        </w:rPr>
        <w:t>10.65万元</w:t>
      </w:r>
      <w:r>
        <w:rPr>
          <w:rFonts w:hint="eastAsia" w:ascii="仿宋_GB2312" w:hAnsi="仿宋_GB2312" w:eastAsia="仿宋_GB2312" w:cs="仿宋_GB2312"/>
          <w:kern w:val="0"/>
          <w:sz w:val="32"/>
          <w:szCs w:val="32"/>
          <w:u w:val="none"/>
        </w:rPr>
        <w:t>、</w:t>
      </w:r>
      <w:r>
        <w:rPr>
          <w:rFonts w:hint="eastAsia" w:ascii="仿宋_GB2312" w:hAnsi="仿宋_GB2312" w:eastAsia="仿宋_GB2312" w:cs="仿宋_GB2312"/>
          <w:kern w:val="0"/>
          <w:sz w:val="32"/>
          <w:szCs w:val="32"/>
          <w:u w:val="none"/>
          <w:lang w:val="en-US" w:eastAsia="zh-CN"/>
        </w:rPr>
        <w:t>取暖费30.92万元、物业管理费164.94万元、</w:t>
      </w:r>
      <w:r>
        <w:rPr>
          <w:rFonts w:hint="eastAsia" w:ascii="仿宋_GB2312" w:hAnsi="仿宋_GB2312" w:eastAsia="仿宋_GB2312" w:cs="仿宋_GB2312"/>
          <w:kern w:val="0"/>
          <w:sz w:val="32"/>
          <w:szCs w:val="32"/>
          <w:u w:val="none"/>
        </w:rPr>
        <w:t>差旅费</w:t>
      </w:r>
      <w:r>
        <w:rPr>
          <w:rFonts w:hint="eastAsia" w:ascii="仿宋_GB2312" w:hAnsi="仿宋_GB2312" w:eastAsia="仿宋_GB2312" w:cs="仿宋_GB2312"/>
          <w:kern w:val="0"/>
          <w:sz w:val="32"/>
          <w:szCs w:val="32"/>
          <w:u w:val="none"/>
          <w:lang w:val="en-US" w:eastAsia="zh-CN"/>
        </w:rPr>
        <w:t>79.5万元</w:t>
      </w:r>
      <w:r>
        <w:rPr>
          <w:rFonts w:hint="eastAsia" w:ascii="仿宋_GB2312" w:hAnsi="仿宋_GB2312" w:eastAsia="仿宋_GB2312" w:cs="仿宋_GB2312"/>
          <w:kern w:val="0"/>
          <w:sz w:val="32"/>
          <w:szCs w:val="32"/>
          <w:u w:val="none"/>
        </w:rPr>
        <w:t>、维修（护）费</w:t>
      </w:r>
      <w:r>
        <w:rPr>
          <w:rFonts w:hint="eastAsia" w:ascii="仿宋_GB2312" w:hAnsi="仿宋_GB2312" w:eastAsia="仿宋_GB2312" w:cs="仿宋_GB2312"/>
          <w:kern w:val="0"/>
          <w:sz w:val="32"/>
          <w:szCs w:val="32"/>
          <w:u w:val="none"/>
          <w:lang w:val="en-US" w:eastAsia="zh-CN"/>
        </w:rPr>
        <w:t>1778.93万元</w:t>
      </w:r>
      <w:r>
        <w:rPr>
          <w:rFonts w:hint="eastAsia" w:ascii="仿宋_GB2312" w:hAnsi="仿宋_GB2312" w:eastAsia="仿宋_GB2312" w:cs="仿宋_GB2312"/>
          <w:kern w:val="0"/>
          <w:sz w:val="32"/>
          <w:szCs w:val="32"/>
          <w:u w:val="none"/>
        </w:rPr>
        <w:t>、租赁费</w:t>
      </w:r>
      <w:r>
        <w:rPr>
          <w:rFonts w:hint="eastAsia" w:ascii="仿宋_GB2312" w:hAnsi="仿宋_GB2312" w:eastAsia="仿宋_GB2312" w:cs="仿宋_GB2312"/>
          <w:kern w:val="0"/>
          <w:sz w:val="32"/>
          <w:szCs w:val="32"/>
          <w:u w:val="none"/>
          <w:lang w:val="en-US" w:eastAsia="zh-CN"/>
        </w:rPr>
        <w:t>591.32万元</w:t>
      </w:r>
      <w:r>
        <w:rPr>
          <w:rFonts w:hint="eastAsia" w:ascii="仿宋_GB2312" w:hAnsi="仿宋_GB2312" w:eastAsia="仿宋_GB2312" w:cs="仿宋_GB2312"/>
          <w:kern w:val="0"/>
          <w:sz w:val="32"/>
          <w:szCs w:val="32"/>
          <w:u w:val="none"/>
        </w:rPr>
        <w:t>、会议费</w:t>
      </w:r>
      <w:r>
        <w:rPr>
          <w:rFonts w:hint="eastAsia" w:ascii="仿宋_GB2312" w:hAnsi="仿宋_GB2312" w:eastAsia="仿宋_GB2312" w:cs="仿宋_GB2312"/>
          <w:kern w:val="0"/>
          <w:sz w:val="32"/>
          <w:szCs w:val="32"/>
          <w:u w:val="none"/>
          <w:lang w:val="en-US" w:eastAsia="zh-CN"/>
        </w:rPr>
        <w:t>0.42万元</w:t>
      </w:r>
      <w:r>
        <w:rPr>
          <w:rFonts w:hint="eastAsia" w:ascii="仿宋_GB2312" w:hAnsi="仿宋_GB2312" w:eastAsia="仿宋_GB2312" w:cs="仿宋_GB2312"/>
          <w:kern w:val="0"/>
          <w:sz w:val="32"/>
          <w:szCs w:val="32"/>
          <w:u w:val="none"/>
        </w:rPr>
        <w:t>、培训费</w:t>
      </w:r>
      <w:r>
        <w:rPr>
          <w:rFonts w:hint="eastAsia" w:ascii="仿宋_GB2312" w:hAnsi="仿宋_GB2312" w:eastAsia="仿宋_GB2312" w:cs="仿宋_GB2312"/>
          <w:kern w:val="0"/>
          <w:sz w:val="32"/>
          <w:szCs w:val="32"/>
          <w:u w:val="none"/>
          <w:lang w:val="en-US" w:eastAsia="zh-CN"/>
        </w:rPr>
        <w:t>30.28万元</w:t>
      </w:r>
      <w:r>
        <w:rPr>
          <w:rFonts w:hint="eastAsia" w:ascii="仿宋_GB2312" w:hAnsi="仿宋_GB2312" w:eastAsia="仿宋_GB2312" w:cs="仿宋_GB2312"/>
          <w:kern w:val="0"/>
          <w:sz w:val="32"/>
          <w:szCs w:val="32"/>
          <w:u w:val="none"/>
        </w:rPr>
        <w:t>、劳务费</w:t>
      </w:r>
      <w:r>
        <w:rPr>
          <w:rFonts w:hint="eastAsia" w:ascii="仿宋_GB2312" w:hAnsi="仿宋_GB2312" w:eastAsia="仿宋_GB2312" w:cs="仿宋_GB2312"/>
          <w:kern w:val="0"/>
          <w:sz w:val="32"/>
          <w:szCs w:val="32"/>
          <w:u w:val="none"/>
          <w:lang w:val="en-US" w:eastAsia="zh-CN"/>
        </w:rPr>
        <w:t>130.03元</w:t>
      </w:r>
      <w:r>
        <w:rPr>
          <w:rFonts w:hint="eastAsia" w:ascii="仿宋_GB2312" w:hAnsi="仿宋_GB2312" w:eastAsia="仿宋_GB2312" w:cs="仿宋_GB2312"/>
          <w:kern w:val="0"/>
          <w:sz w:val="32"/>
          <w:szCs w:val="32"/>
          <w:u w:val="none"/>
        </w:rPr>
        <w:t>、委托业务费</w:t>
      </w:r>
      <w:r>
        <w:rPr>
          <w:rFonts w:hint="eastAsia" w:ascii="仿宋_GB2312" w:hAnsi="仿宋_GB2312" w:eastAsia="仿宋_GB2312" w:cs="仿宋_GB2312"/>
          <w:kern w:val="0"/>
          <w:sz w:val="32"/>
          <w:szCs w:val="32"/>
          <w:u w:val="none"/>
          <w:lang w:val="en-US" w:eastAsia="zh-CN"/>
        </w:rPr>
        <w:t>568.82万元、</w:t>
      </w:r>
      <w:r>
        <w:rPr>
          <w:rFonts w:hint="eastAsia" w:ascii="仿宋_GB2312" w:hAnsi="仿宋_GB2312" w:eastAsia="仿宋_GB2312" w:cs="仿宋_GB2312"/>
          <w:kern w:val="0"/>
          <w:sz w:val="32"/>
          <w:szCs w:val="32"/>
          <w:u w:val="none"/>
        </w:rPr>
        <w:t>其他交通费用</w:t>
      </w:r>
      <w:r>
        <w:rPr>
          <w:rFonts w:hint="eastAsia" w:ascii="仿宋_GB2312" w:hAnsi="仿宋_GB2312" w:eastAsia="仿宋_GB2312" w:cs="仿宋_GB2312"/>
          <w:kern w:val="0"/>
          <w:sz w:val="32"/>
          <w:szCs w:val="32"/>
          <w:u w:val="none"/>
          <w:lang w:val="en-US" w:eastAsia="zh-CN"/>
        </w:rPr>
        <w:t>5.9万元</w:t>
      </w:r>
      <w:r>
        <w:rPr>
          <w:rFonts w:hint="eastAsia" w:ascii="仿宋_GB2312" w:hAnsi="仿宋_GB2312" w:eastAsia="仿宋_GB2312" w:cs="仿宋_GB2312"/>
          <w:kern w:val="0"/>
          <w:sz w:val="32"/>
          <w:szCs w:val="32"/>
          <w:u w:val="none"/>
        </w:rPr>
        <w:t>、其他商品和服务支出</w:t>
      </w:r>
      <w:r>
        <w:rPr>
          <w:rFonts w:hint="eastAsia" w:ascii="仿宋_GB2312" w:hAnsi="仿宋_GB2312" w:eastAsia="仿宋_GB2312" w:cs="仿宋_GB2312"/>
          <w:kern w:val="0"/>
          <w:sz w:val="32"/>
          <w:szCs w:val="32"/>
          <w:u w:val="none"/>
          <w:lang w:val="en-US" w:eastAsia="zh-CN"/>
        </w:rPr>
        <w:t>316.54万元</w:t>
      </w:r>
      <w:r>
        <w:rPr>
          <w:rFonts w:hint="eastAsia" w:ascii="仿宋_GB2312" w:hAnsi="仿宋_GB2312" w:eastAsia="仿宋_GB2312" w:cs="仿宋_GB2312"/>
          <w:kern w:val="0"/>
          <w:sz w:val="32"/>
          <w:szCs w:val="32"/>
          <w:u w:val="none"/>
        </w:rPr>
        <w:t>。</w:t>
      </w:r>
    </w:p>
    <w:p>
      <w:pPr>
        <w:widowControl/>
        <w:spacing w:before="240" w:after="240"/>
        <w:ind w:firstLine="482"/>
        <w:rPr>
          <w:rFonts w:hint="eastAsia" w:ascii="仿宋_GB2312" w:hAnsi="仿宋_GB2312" w:eastAsia="仿宋_GB2312" w:cs="仿宋_GB2312"/>
          <w:kern w:val="0"/>
          <w:sz w:val="32"/>
          <w:szCs w:val="32"/>
          <w:u w:val="none"/>
        </w:rPr>
      </w:pPr>
      <w:r>
        <w:rPr>
          <w:rFonts w:hint="eastAsia" w:ascii="楷体_GB2312" w:hAnsi="楷体_GB2312" w:eastAsia="楷体_GB2312" w:cs="楷体_GB2312"/>
          <w:b w:val="0"/>
          <w:bCs w:val="0"/>
          <w:kern w:val="0"/>
          <w:sz w:val="32"/>
          <w:szCs w:val="32"/>
          <w:u w:val="none"/>
          <w:lang w:eastAsia="zh-CN"/>
        </w:rPr>
        <w:t>（</w:t>
      </w:r>
      <w:r>
        <w:rPr>
          <w:rFonts w:hint="eastAsia" w:ascii="楷体_GB2312" w:hAnsi="楷体_GB2312" w:eastAsia="楷体_GB2312" w:cs="楷体_GB2312"/>
          <w:b w:val="0"/>
          <w:bCs w:val="0"/>
          <w:kern w:val="0"/>
          <w:sz w:val="32"/>
          <w:szCs w:val="32"/>
          <w:u w:val="none"/>
          <w:lang w:val="en-US" w:eastAsia="zh-CN"/>
        </w:rPr>
        <w:t>三</w:t>
      </w:r>
      <w:r>
        <w:rPr>
          <w:rFonts w:hint="eastAsia" w:ascii="楷体_GB2312" w:hAnsi="楷体_GB2312" w:eastAsia="楷体_GB2312" w:cs="楷体_GB2312"/>
          <w:b w:val="0"/>
          <w:bCs w:val="0"/>
          <w:kern w:val="0"/>
          <w:sz w:val="32"/>
          <w:szCs w:val="32"/>
          <w:u w:val="none"/>
        </w:rPr>
        <w:t>）对个人和家庭的补助</w:t>
      </w:r>
      <w:r>
        <w:rPr>
          <w:rFonts w:hint="eastAsia" w:ascii="楷体_GB2312" w:hAnsi="楷体_GB2312" w:eastAsia="楷体_GB2312" w:cs="楷体_GB2312"/>
          <w:b w:val="0"/>
          <w:bCs w:val="0"/>
          <w:kern w:val="0"/>
          <w:sz w:val="32"/>
          <w:szCs w:val="32"/>
          <w:u w:val="none"/>
          <w:lang w:val="en-US" w:eastAsia="zh-CN"/>
        </w:rPr>
        <w:t>37.94</w:t>
      </w:r>
      <w:r>
        <w:rPr>
          <w:rFonts w:hint="eastAsia" w:ascii="楷体_GB2312" w:hAnsi="楷体_GB2312" w:eastAsia="楷体_GB2312" w:cs="楷体_GB2312"/>
          <w:b w:val="0"/>
          <w:bCs w:val="0"/>
          <w:kern w:val="0"/>
          <w:sz w:val="32"/>
          <w:szCs w:val="32"/>
          <w:u w:val="none"/>
        </w:rPr>
        <w:t>万元。</w:t>
      </w:r>
      <w:r>
        <w:rPr>
          <w:rFonts w:hint="eastAsia" w:ascii="仿宋_GB2312" w:hAnsi="仿宋_GB2312" w:eastAsia="仿宋_GB2312" w:cs="仿宋_GB2312"/>
          <w:kern w:val="0"/>
          <w:sz w:val="32"/>
          <w:szCs w:val="32"/>
          <w:u w:val="none"/>
        </w:rPr>
        <w:t>主要包括：</w:t>
      </w:r>
      <w:r>
        <w:rPr>
          <w:rFonts w:hint="eastAsia" w:ascii="仿宋_GB2312" w:hAnsi="仿宋_GB2312" w:eastAsia="仿宋_GB2312" w:cs="仿宋_GB2312"/>
          <w:kern w:val="0"/>
          <w:sz w:val="32"/>
          <w:szCs w:val="32"/>
          <w:u w:val="none"/>
          <w:lang w:val="en-US" w:eastAsia="zh-CN"/>
        </w:rPr>
        <w:t>生活</w:t>
      </w:r>
      <w:r>
        <w:rPr>
          <w:rFonts w:hint="eastAsia" w:ascii="仿宋_GB2312" w:hAnsi="仿宋_GB2312" w:eastAsia="仿宋_GB2312" w:cs="仿宋_GB2312"/>
          <w:kern w:val="0"/>
          <w:sz w:val="32"/>
          <w:szCs w:val="32"/>
          <w:u w:val="none"/>
        </w:rPr>
        <w:t>补助</w:t>
      </w:r>
      <w:r>
        <w:rPr>
          <w:rFonts w:hint="eastAsia" w:ascii="仿宋_GB2312" w:hAnsi="仿宋_GB2312" w:eastAsia="仿宋_GB2312" w:cs="仿宋_GB2312"/>
          <w:kern w:val="0"/>
          <w:sz w:val="32"/>
          <w:szCs w:val="32"/>
          <w:u w:val="none"/>
          <w:lang w:val="en-US" w:eastAsia="zh-CN"/>
        </w:rPr>
        <w:t>3.89万元、其他对个人和家庭的补助34.05万元</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482"/>
        <w:rPr>
          <w:rFonts w:hint="eastAsia" w:ascii="仿宋_GB2312" w:hAnsi="仿宋_GB2312" w:eastAsia="仿宋_GB2312" w:cs="仿宋_GB2312"/>
          <w:kern w:val="0"/>
          <w:sz w:val="32"/>
          <w:szCs w:val="32"/>
          <w:u w:val="none"/>
        </w:rPr>
      </w:pPr>
      <w:r>
        <w:rPr>
          <w:rFonts w:hint="eastAsia" w:ascii="楷体_GB2312" w:hAnsi="楷体_GB2312" w:eastAsia="楷体_GB2312" w:cs="楷体_GB2312"/>
          <w:b w:val="0"/>
          <w:bCs w:val="0"/>
          <w:kern w:val="0"/>
          <w:sz w:val="32"/>
          <w:szCs w:val="32"/>
          <w:u w:val="none"/>
          <w:lang w:eastAsia="zh-CN"/>
        </w:rPr>
        <w:t>（三）资本性支出 717.78万元。</w:t>
      </w:r>
      <w:r>
        <w:rPr>
          <w:rFonts w:hint="eastAsia" w:ascii="仿宋_GB2312" w:hAnsi="仿宋_GB2312" w:eastAsia="仿宋_GB2312" w:cs="仿宋_GB2312"/>
          <w:kern w:val="0"/>
          <w:sz w:val="32"/>
          <w:szCs w:val="32"/>
          <w:u w:val="none"/>
        </w:rPr>
        <w:t>主要包括：办公设备购置</w:t>
      </w:r>
      <w:r>
        <w:rPr>
          <w:rFonts w:hint="eastAsia" w:ascii="仿宋_GB2312" w:hAnsi="仿宋_GB2312" w:eastAsia="仿宋_GB2312" w:cs="仿宋_GB2312"/>
          <w:kern w:val="0"/>
          <w:sz w:val="32"/>
          <w:szCs w:val="32"/>
          <w:u w:val="none"/>
          <w:lang w:val="en-US" w:eastAsia="zh-CN"/>
        </w:rPr>
        <w:t>55.08万元、基础设施建设201.35万元、 大型修缮43.24万元、信息网络及软件购置更新42.5万元、其他交通工具购置375.61万元</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b w:val="0"/>
          <w:bCs w:val="0"/>
          <w:kern w:val="0"/>
          <w:sz w:val="32"/>
          <w:szCs w:val="32"/>
          <w:u w:val="none"/>
        </w:rPr>
        <w:t>（</w:t>
      </w:r>
      <w:r>
        <w:rPr>
          <w:rFonts w:hint="eastAsia" w:ascii="楷体_GB2312" w:hAnsi="楷体_GB2312" w:eastAsia="楷体_GB2312" w:cs="楷体_GB2312"/>
          <w:b w:val="0"/>
          <w:bCs w:val="0"/>
          <w:kern w:val="0"/>
          <w:sz w:val="32"/>
          <w:szCs w:val="32"/>
          <w:u w:val="none"/>
          <w:lang w:val="en-US" w:eastAsia="zh-CN"/>
        </w:rPr>
        <w:t>五</w:t>
      </w:r>
      <w:r>
        <w:rPr>
          <w:rFonts w:hint="eastAsia" w:ascii="楷体_GB2312" w:hAnsi="楷体_GB2312" w:eastAsia="楷体_GB2312" w:cs="楷体_GB2312"/>
          <w:b w:val="0"/>
          <w:bCs w:val="0"/>
          <w:kern w:val="0"/>
          <w:sz w:val="32"/>
          <w:szCs w:val="32"/>
          <w:u w:val="none"/>
        </w:rPr>
        <w:t>）对企业补助</w:t>
      </w:r>
      <w:r>
        <w:rPr>
          <w:rFonts w:hint="eastAsia" w:ascii="楷体_GB2312" w:hAnsi="楷体_GB2312" w:eastAsia="楷体_GB2312" w:cs="楷体_GB2312"/>
          <w:b w:val="0"/>
          <w:bCs w:val="0"/>
          <w:kern w:val="0"/>
          <w:sz w:val="32"/>
          <w:szCs w:val="32"/>
          <w:u w:val="none"/>
          <w:lang w:val="en-US" w:eastAsia="zh-CN"/>
        </w:rPr>
        <w:t>13964.89</w:t>
      </w:r>
      <w:r>
        <w:rPr>
          <w:rFonts w:hint="eastAsia" w:ascii="楷体_GB2312" w:hAnsi="楷体_GB2312" w:eastAsia="楷体_GB2312" w:cs="楷体_GB2312"/>
          <w:b w:val="0"/>
          <w:bCs w:val="0"/>
          <w:kern w:val="0"/>
          <w:sz w:val="32"/>
          <w:szCs w:val="32"/>
          <w:u w:val="none"/>
        </w:rPr>
        <w:t>万元。</w:t>
      </w:r>
      <w:r>
        <w:rPr>
          <w:rFonts w:hint="eastAsia" w:ascii="仿宋_GB2312" w:hAnsi="仿宋_GB2312" w:eastAsia="仿宋_GB2312" w:cs="仿宋_GB2312"/>
          <w:kern w:val="0"/>
          <w:sz w:val="32"/>
          <w:szCs w:val="32"/>
          <w:u w:val="none"/>
        </w:rPr>
        <w:t>主要包括：费用补贴</w:t>
      </w:r>
      <w:r>
        <w:rPr>
          <w:rFonts w:hint="eastAsia" w:ascii="仿宋_GB2312" w:hAnsi="仿宋_GB2312" w:eastAsia="仿宋_GB2312" w:cs="仿宋_GB2312"/>
          <w:kern w:val="0"/>
          <w:sz w:val="32"/>
          <w:szCs w:val="32"/>
          <w:u w:val="none"/>
          <w:lang w:val="en-US" w:eastAsia="zh-CN"/>
        </w:rPr>
        <w:t>13964.89</w:t>
      </w:r>
      <w:r>
        <w:rPr>
          <w:rFonts w:hint="eastAsia" w:ascii="仿宋_GB2312" w:hAnsi="仿宋_GB2312" w:eastAsia="仿宋_GB2312" w:cs="仿宋_GB2312"/>
          <w:kern w:val="0"/>
          <w:sz w:val="32"/>
          <w:szCs w:val="32"/>
          <w:u w:val="none"/>
        </w:rPr>
        <w:t>万元。</w:t>
      </w:r>
    </w:p>
    <w:p>
      <w:pPr>
        <w:pageBreakBefore w:val="0"/>
        <w:widowControl/>
        <w:kinsoku/>
        <w:wordWrap/>
        <w:overflowPunct/>
        <w:topLinePunct w:val="0"/>
        <w:autoSpaceDE/>
        <w:autoSpaceDN/>
        <w:bidi w:val="0"/>
        <w:adjustRightInd/>
        <w:snapToGrid/>
        <w:spacing w:before="240" w:after="240" w:line="520" w:lineRule="exact"/>
        <w:jc w:val="left"/>
        <w:rPr>
          <w:rFonts w:ascii="Times New Roman" w:hAnsi="Times New Roman" w:eastAsia="Times New Roman" w:cs="Times New Roman"/>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val="0"/>
          <w:bCs w:val="0"/>
          <w:kern w:val="0"/>
          <w:sz w:val="32"/>
          <w:szCs w:val="32"/>
        </w:rPr>
        <w:t> </w:t>
      </w:r>
      <w:r>
        <w:rPr>
          <w:rFonts w:ascii="黑体" w:hAnsi="黑体" w:eastAsia="黑体" w:cs="黑体"/>
          <w:b w:val="0"/>
          <w:bCs w:val="0"/>
          <w:kern w:val="0"/>
          <w:sz w:val="32"/>
          <w:szCs w:val="32"/>
        </w:rPr>
        <w:t xml:space="preserve"> 八、财政拨款“三公”经费支出决算情况说明</w:t>
      </w:r>
    </w:p>
    <w:p>
      <w:pPr>
        <w:pageBreakBefore w:val="0"/>
        <w:widowControl/>
        <w:kinsoku/>
        <w:wordWrap/>
        <w:overflowPunct/>
        <w:topLinePunct w:val="0"/>
        <w:autoSpaceDE/>
        <w:autoSpaceDN/>
        <w:bidi w:val="0"/>
        <w:adjustRightInd/>
        <w:snapToGrid/>
        <w:spacing w:before="240" w:after="240" w:line="520" w:lineRule="exact"/>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w:t>
      </w:r>
      <w:r>
        <w:rPr>
          <w:rFonts w:hint="eastAsia" w:ascii="楷体_GB2312" w:hAnsi="楷体_GB2312" w:eastAsia="楷体_GB2312" w:cs="楷体_GB2312"/>
          <w:b w:val="0"/>
          <w:bCs w:val="0"/>
          <w:kern w:val="0"/>
          <w:sz w:val="32"/>
          <w:szCs w:val="32"/>
        </w:rPr>
        <w:t xml:space="preserve"> （一）财政拨款“三公”经费支出总体情况说明。</w:t>
      </w:r>
    </w:p>
    <w:p>
      <w:pPr>
        <w:widowControl/>
        <w:spacing w:before="240" w:after="240"/>
        <w:rPr>
          <w:rFonts w:hint="eastAsia" w:ascii="仿宋_GB2312" w:hAnsi="仿宋_GB2312" w:eastAsia="仿宋_GB2312" w:cs="仿宋_GB2312"/>
          <w:kern w:val="0"/>
          <w:sz w:val="32"/>
          <w:szCs w:val="32"/>
        </w:rPr>
      </w:pPr>
      <w:r>
        <w:rPr>
          <w:rFonts w:ascii="fang_song_gb2312" w:hAnsi="fang_song_gb2312" w:eastAsia="fang_song_gb2312" w:cs="fang_song_gb2312"/>
          <w:kern w:val="0"/>
          <w:sz w:val="27"/>
          <w:szCs w:val="27"/>
        </w:rPr>
        <w:t>   </w:t>
      </w:r>
      <w:r>
        <w:rPr>
          <w:rFonts w:ascii="fang_song_gb2312" w:hAnsi="fang_song_gb2312" w:eastAsia="fang_song_gb2312" w:cs="fang_song_gb2312"/>
          <w:kern w:val="0"/>
          <w:sz w:val="27"/>
          <w:szCs w:val="27"/>
          <w:u w:val="none"/>
        </w:rPr>
        <w:t xml:space="preserve"> </w:t>
      </w:r>
      <w:r>
        <w:rPr>
          <w:rFonts w:hint="eastAsia" w:ascii="fang_song_gb2312" w:hAnsi="fang_song_gb2312" w:eastAsia="宋体" w:cs="fang_song_gb2312"/>
          <w:kern w:val="0"/>
          <w:sz w:val="27"/>
          <w:szCs w:val="27"/>
          <w:lang w:val="en-US" w:eastAsia="zh-CN"/>
        </w:rPr>
        <w:t xml:space="preserve"> </w:t>
      </w:r>
      <w:r>
        <w:rPr>
          <w:rFonts w:hint="eastAsia" w:ascii="仿宋_GB2312" w:hAnsi="仿宋_GB2312" w:eastAsia="仿宋_GB2312" w:cs="仿宋_GB2312"/>
          <w:kern w:val="0"/>
          <w:sz w:val="32"/>
          <w:szCs w:val="32"/>
          <w:u w:val="none"/>
        </w:rPr>
        <w:t>内蒙古自治区鄂尔多斯空港物流园区管理委员会部门 2024年度财政拨款“三公”经费全年预算 42.36万元，支出决算 42.36万元，完成预算的 100.00%。其中：因公出国（境）费全年预算 0万元，支出决算 0万元，完成预算的 0%；公务用车购置及运行维护费全年预算 12.58万元，支出决算 12.58万元，完成预算的 100.00%；公务接待费全年预算 29.78万元，支出决算 29.78万元，完成预算的 100.00%。2024年度一般公共预算财政拨款“三公”经费全年预算 42.36万元，支出决算 42.36万元，与预算</w:t>
      </w:r>
      <w:r>
        <w:rPr>
          <w:rFonts w:hint="eastAsia" w:ascii="仿宋_GB2312" w:hAnsi="仿宋_GB2312" w:eastAsia="仿宋_GB2312" w:cs="仿宋_GB2312"/>
          <w:kern w:val="0"/>
          <w:sz w:val="32"/>
          <w:szCs w:val="32"/>
          <w:u w:val="none"/>
          <w:lang w:val="en-US" w:eastAsia="zh-CN"/>
        </w:rPr>
        <w:t>无</w:t>
      </w:r>
      <w:r>
        <w:rPr>
          <w:rFonts w:hint="eastAsia" w:ascii="仿宋_GB2312" w:hAnsi="仿宋_GB2312" w:eastAsia="仿宋_GB2312" w:cs="仿宋_GB2312"/>
          <w:kern w:val="0"/>
          <w:sz w:val="32"/>
          <w:szCs w:val="32"/>
          <w:u w:val="none"/>
        </w:rPr>
        <w:t>差异</w:t>
      </w:r>
      <w:r>
        <w:rPr>
          <w:rFonts w:hint="eastAsia" w:ascii="仿宋_GB2312" w:hAnsi="仿宋_GB2312" w:eastAsia="仿宋_GB2312" w:cs="仿宋_GB2312"/>
          <w:kern w:val="0"/>
          <w:sz w:val="32"/>
          <w:szCs w:val="32"/>
          <w:u w:val="none"/>
          <w:lang w:eastAsia="zh-CN"/>
        </w:rPr>
        <w:t>。</w:t>
      </w:r>
    </w:p>
    <w:p>
      <w:pPr>
        <w:pageBreakBefore w:val="0"/>
        <w:widowControl/>
        <w:kinsoku/>
        <w:wordWrap/>
        <w:overflowPunct/>
        <w:topLinePunct w:val="0"/>
        <w:autoSpaceDE/>
        <w:autoSpaceDN/>
        <w:bidi w:val="0"/>
        <w:adjustRightInd/>
        <w:snapToGrid/>
        <w:spacing w:before="240" w:after="240" w:line="520" w:lineRule="exact"/>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w:t>
      </w:r>
      <w:r>
        <w:rPr>
          <w:rFonts w:hint="eastAsia" w:ascii="楷体_GB2312" w:hAnsi="楷体_GB2312" w:eastAsia="楷体_GB2312" w:cs="楷体_GB2312"/>
          <w:b w:val="0"/>
          <w:bCs w:val="0"/>
          <w:kern w:val="0"/>
          <w:sz w:val="32"/>
          <w:szCs w:val="32"/>
        </w:rPr>
        <w:t xml:space="preserve"> （二）财政拨款“三公”经费支出具体情况说明。</w:t>
      </w:r>
    </w:p>
    <w:p>
      <w:pPr>
        <w:widowControl/>
        <w:spacing w:before="240" w:after="240"/>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内蒙古自治区鄂尔多斯空港物流园区管理委员会部门 2024年度财政拨款“三公”经费支出 42.36万元。因公出国（境）费支出 0万元，占 0%；公务用车购置及运行维护费支出 12.58万元，占 29.70%；公务接待费支出 29.78万元，占 70.30%。其中：</w:t>
      </w:r>
    </w:p>
    <w:p>
      <w:pPr>
        <w:widowControl/>
        <w:spacing w:before="240" w:after="240"/>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rPr>
        <w:t> </w:t>
      </w:r>
      <w:r>
        <w:rPr>
          <w:rFonts w:hint="eastAsia" w:ascii="仿宋_GB2312" w:hAnsi="仿宋_GB2312" w:eastAsia="仿宋_GB2312" w:cs="仿宋_GB2312"/>
          <w:kern w:val="0"/>
          <w:sz w:val="32"/>
          <w:szCs w:val="32"/>
          <w:u w:val="none"/>
        </w:rPr>
        <w:t>1.因公出国（境）费支出 0.00万元，全年出国（境）团组0 个，累计0 人次。与上年决算相比，增加 0.00万元，变动原因：未发生因公出国（境）费。</w:t>
      </w:r>
    </w:p>
    <w:p>
      <w:pPr>
        <w:widowControl/>
        <w:spacing w:before="240" w:after="240"/>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2.公务用车购置及运行维护费支出 12.</w:t>
      </w:r>
      <w:r>
        <w:rPr>
          <w:rFonts w:hint="eastAsia" w:ascii="仿宋_GB2312" w:hAnsi="仿宋_GB2312" w:eastAsia="仿宋_GB2312" w:cs="仿宋_GB2312"/>
          <w:kern w:val="0"/>
          <w:sz w:val="32"/>
          <w:szCs w:val="32"/>
          <w:u w:val="none"/>
          <w:lang w:val="en-US" w:eastAsia="zh-CN"/>
        </w:rPr>
        <w:t>58</w:t>
      </w:r>
      <w:r>
        <w:rPr>
          <w:rFonts w:hint="eastAsia" w:ascii="仿宋_GB2312" w:hAnsi="仿宋_GB2312" w:eastAsia="仿宋_GB2312" w:cs="仿宋_GB2312"/>
          <w:kern w:val="0"/>
          <w:sz w:val="32"/>
          <w:szCs w:val="32"/>
          <w:u w:val="none"/>
        </w:rPr>
        <w:t>万元。其中：</w:t>
      </w:r>
    </w:p>
    <w:p>
      <w:pPr>
        <w:widowControl/>
        <w:spacing w:before="240" w:after="240"/>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（1）公务用车购置支出 0.00万元。本年度使用财政拨款购置公务用车0 辆，开支内容：</w:t>
      </w:r>
      <w:r>
        <w:rPr>
          <w:rFonts w:hint="eastAsia" w:ascii="仿宋_GB2312" w:hAnsi="仿宋_GB2312" w:eastAsia="仿宋_GB2312" w:cs="仿宋_GB2312"/>
          <w:kern w:val="0"/>
          <w:sz w:val="32"/>
          <w:szCs w:val="32"/>
          <w:u w:val="none"/>
          <w:lang w:val="en-US" w:eastAsia="zh-CN"/>
        </w:rPr>
        <w:t>无</w:t>
      </w:r>
      <w:r>
        <w:rPr>
          <w:rFonts w:hint="eastAsia" w:ascii="仿宋_GB2312" w:hAnsi="仿宋_GB2312" w:eastAsia="仿宋_GB2312" w:cs="仿宋_GB2312"/>
          <w:kern w:val="0"/>
          <w:sz w:val="32"/>
          <w:szCs w:val="32"/>
          <w:u w:val="none"/>
        </w:rPr>
        <w:t>。与上年决算相比，增加 0.00万元，变动原因：未发生公务用车购置支出。</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（2）公务用车运行维护费支出 12.58万元。公务用车运行维护费主要用于按规定保留的公务用车的燃料费、维修费、过桥过路费、保险费、安全奖励费用等支出。截至2024年12月31日，使用财政拨款开支的公务用车保有量为8 辆。与上年决算相比，减少0.36万元，下降2.80%，变动原因：因</w:t>
      </w:r>
      <w:r>
        <w:rPr>
          <w:rFonts w:hint="eastAsia" w:ascii="仿宋_GB2312" w:hAnsi="仿宋_GB2312" w:eastAsia="仿宋_GB2312" w:cs="仿宋_GB2312"/>
          <w:kern w:val="0"/>
          <w:sz w:val="32"/>
          <w:szCs w:val="32"/>
          <w:u w:val="none"/>
          <w:lang w:val="en-US" w:eastAsia="zh-CN"/>
        </w:rPr>
        <w:t>年末</w:t>
      </w:r>
      <w:r>
        <w:rPr>
          <w:rFonts w:hint="eastAsia" w:ascii="仿宋_GB2312" w:hAnsi="仿宋_GB2312" w:eastAsia="仿宋_GB2312" w:cs="仿宋_GB2312"/>
          <w:kern w:val="0"/>
          <w:sz w:val="32"/>
          <w:szCs w:val="32"/>
          <w:u w:val="none"/>
        </w:rPr>
        <w:t>公务用车燃油及维修报账手续不全，存在尚未报账公务用车燃油及维修费用，所以导致公务用车运行维护费与上年决算相比，减少0.36万元。</w:t>
      </w:r>
    </w:p>
    <w:p>
      <w:pPr>
        <w:widowControl/>
        <w:spacing w:before="240" w:after="240"/>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u w:val="none"/>
        </w:rPr>
        <w:t>3.公务接待费支出 29.78万元。其中：国内公务接待支出 29.78万元，接待300 批次，2400 人次，开支内容：用于招商引资企业考察调研接待，上级部门检查验收接待，同级部门调研学习接待；国（境）外公务接待支出 0万元，接待0 批次，0 人次，开支内容：</w:t>
      </w:r>
      <w:r>
        <w:rPr>
          <w:rFonts w:hint="eastAsia" w:ascii="仿宋_GB2312" w:hAnsi="仿宋_GB2312" w:eastAsia="仿宋_GB2312" w:cs="仿宋_GB2312"/>
          <w:kern w:val="0"/>
          <w:sz w:val="32"/>
          <w:szCs w:val="32"/>
          <w:u w:val="none"/>
          <w:lang w:val="en-US" w:eastAsia="zh-CN"/>
        </w:rPr>
        <w:t>无</w:t>
      </w:r>
      <w:r>
        <w:rPr>
          <w:rFonts w:hint="eastAsia" w:ascii="仿宋_GB2312" w:hAnsi="仿宋_GB2312" w:eastAsia="仿宋_GB2312" w:cs="仿宋_GB2312"/>
          <w:kern w:val="0"/>
          <w:sz w:val="32"/>
          <w:szCs w:val="32"/>
          <w:u w:val="none"/>
        </w:rPr>
        <w:t>。与上年决算相比</w:t>
      </w:r>
      <w:r>
        <w:rPr>
          <w:rFonts w:hint="eastAsia" w:ascii="仿宋_GB2312" w:hAnsi="仿宋_GB2312" w:eastAsia="仿宋_GB2312" w:cs="仿宋_GB2312"/>
          <w:kern w:val="0"/>
          <w:sz w:val="32"/>
          <w:szCs w:val="32"/>
          <w:u w:val="none"/>
          <w:lang w:val="en-US" w:eastAsia="zh-CN"/>
        </w:rPr>
        <w:t>持平</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b w:val="0"/>
          <w:bCs w:val="0"/>
          <w:kern w:val="0"/>
          <w:sz w:val="32"/>
          <w:szCs w:val="32"/>
        </w:rPr>
        <w:t xml:space="preserve"> 九、政府性基金预算财政拨款支出决算情况说明</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内蒙古自治区鄂尔多斯空港物流园区管理委员会部门 2024年度政府性基金预算财政拨款支出决算781.86万元。与上年决算相比，减少2692.16万元，下降77.49%，变动原因：</w:t>
      </w:r>
      <w:r>
        <w:rPr>
          <w:rFonts w:hint="eastAsia" w:ascii="仿宋_GB2312" w:hAnsi="仿宋_GB2312" w:eastAsia="仿宋_GB2312" w:cs="仿宋_GB2312"/>
          <w:kern w:val="0"/>
          <w:sz w:val="32"/>
          <w:szCs w:val="32"/>
          <w:u w:val="none"/>
          <w:lang w:val="en-US" w:eastAsia="zh-CN"/>
        </w:rPr>
        <w:t>建设管理局重点项目建设项目支出减少</w:t>
      </w:r>
      <w:r>
        <w:rPr>
          <w:rFonts w:hint="eastAsia" w:ascii="仿宋_GB2312" w:hAnsi="仿宋_GB2312" w:eastAsia="仿宋_GB2312" w:cs="仿宋_GB2312"/>
          <w:kern w:val="0"/>
          <w:sz w:val="32"/>
          <w:szCs w:val="32"/>
          <w:u w:val="none"/>
        </w:rPr>
        <w:t>。其中：</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u w:val="none"/>
        </w:rPr>
        <w:t>城乡社区支出（类）国有土地使用权出让收入安排的支出（款）其他国有土地使用权出让收入安排的支出（项）支出781.86万元，主要用于建设管理局土方平衡工程等项目</w:t>
      </w:r>
      <w:r>
        <w:rPr>
          <w:rFonts w:hint="eastAsia" w:ascii="仿宋_GB2312" w:hAnsi="仿宋_GB2312" w:eastAsia="仿宋_GB2312" w:cs="仿宋_GB2312"/>
          <w:kern w:val="0"/>
          <w:sz w:val="32"/>
          <w:szCs w:val="32"/>
          <w:u w:val="none"/>
          <w:lang w:val="en-US" w:eastAsia="zh-CN"/>
        </w:rPr>
        <w:t>、自然资源分局报批、控规修编及基准地价更新相关费用项目、土地测绘、出让及控规修编费用项目、林草地报批费用项目支出</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jc w:val="left"/>
        <w:rPr>
          <w:rFonts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val="0"/>
          <w:bCs w:val="0"/>
          <w:kern w:val="0"/>
          <w:sz w:val="32"/>
          <w:szCs w:val="32"/>
        </w:rPr>
        <w:t xml:space="preserve"> </w:t>
      </w:r>
    </w:p>
    <w:p>
      <w:pPr>
        <w:pageBreakBefore w:val="0"/>
        <w:widowControl/>
        <w:kinsoku/>
        <w:wordWrap/>
        <w:overflowPunct/>
        <w:topLinePunct w:val="0"/>
        <w:autoSpaceDE/>
        <w:autoSpaceDN/>
        <w:bidi w:val="0"/>
        <w:adjustRightInd/>
        <w:snapToGrid/>
        <w:spacing w:before="240" w:after="240" w:line="520" w:lineRule="exact"/>
        <w:jc w:val="left"/>
        <w:rPr>
          <w:rFonts w:ascii="Times New Roman" w:hAnsi="Times New Roman" w:eastAsia="Times New Roman" w:cs="Times New Roman"/>
          <w:b w:val="0"/>
          <w:bCs w:val="0"/>
          <w:kern w:val="0"/>
          <w:sz w:val="32"/>
          <w:szCs w:val="32"/>
        </w:rPr>
      </w:pPr>
      <w:r>
        <w:rPr>
          <w:rFonts w:ascii="黑体" w:hAnsi="黑体" w:eastAsia="黑体" w:cs="黑体"/>
          <w:b w:val="0"/>
          <w:bCs w:val="0"/>
          <w:kern w:val="0"/>
          <w:sz w:val="32"/>
          <w:szCs w:val="32"/>
        </w:rPr>
        <w:t>十、国有资本经营预算财政拨款支出决算情况说明</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鄂尔多斯空港物流园区管理委员会</w:t>
      </w:r>
      <w:r>
        <w:rPr>
          <w:rFonts w:hint="eastAsia" w:ascii="仿宋_GB2312" w:hAnsi="仿宋_GB2312" w:eastAsia="仿宋_GB2312" w:cs="仿宋_GB2312"/>
          <w:kern w:val="0"/>
          <w:sz w:val="32"/>
          <w:szCs w:val="32"/>
          <w:u w:val="none"/>
        </w:rPr>
        <w:t>部门202</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年度国有资本经营预算财政拨款支出决算 0.00万元。与上年决算相比，增加 0.00万元，</w:t>
      </w:r>
      <w:r>
        <w:rPr>
          <w:rFonts w:hint="eastAsia" w:ascii="仿宋_GB2312" w:hAnsi="仿宋_GB2312" w:eastAsia="仿宋_GB2312" w:cs="仿宋_GB2312"/>
          <w:kern w:val="0"/>
          <w:sz w:val="32"/>
          <w:szCs w:val="32"/>
          <w:u w:val="none"/>
          <w:lang w:eastAsia="zh-CN"/>
        </w:rPr>
        <w:t>与上年持平</w:t>
      </w:r>
      <w:r>
        <w:rPr>
          <w:rFonts w:hint="eastAsia" w:ascii="仿宋_GB2312" w:hAnsi="仿宋_GB2312" w:eastAsia="仿宋_GB2312" w:cs="仿宋_GB2312"/>
          <w:kern w:val="0"/>
          <w:sz w:val="32"/>
          <w:szCs w:val="32"/>
          <w:u w:val="none"/>
        </w:rPr>
        <w:t>，变动原因：本</w:t>
      </w:r>
      <w:r>
        <w:rPr>
          <w:rFonts w:hint="eastAsia" w:ascii="仿宋_GB2312" w:hAnsi="仿宋_GB2312" w:eastAsia="仿宋_GB2312" w:cs="仿宋_GB2312"/>
          <w:kern w:val="0"/>
          <w:sz w:val="32"/>
          <w:szCs w:val="32"/>
          <w:u w:val="none"/>
          <w:lang w:val="en-US" w:eastAsia="zh-CN"/>
        </w:rPr>
        <w:t>部门</w:t>
      </w:r>
      <w:r>
        <w:rPr>
          <w:rFonts w:hint="eastAsia" w:ascii="仿宋_GB2312" w:hAnsi="仿宋_GB2312" w:eastAsia="仿宋_GB2312" w:cs="仿宋_GB2312"/>
          <w:kern w:val="0"/>
          <w:sz w:val="32"/>
          <w:szCs w:val="32"/>
          <w:u w:val="none"/>
        </w:rPr>
        <w:t>无国有资本经营预算财政拨款收、支、余。</w:t>
      </w:r>
    </w:p>
    <w:p>
      <w:pPr>
        <w:pageBreakBefore w:val="0"/>
        <w:widowControl/>
        <w:kinsoku/>
        <w:wordWrap/>
        <w:overflowPunct/>
        <w:topLinePunct w:val="0"/>
        <w:autoSpaceDE/>
        <w:autoSpaceDN/>
        <w:bidi w:val="0"/>
        <w:adjustRightInd/>
        <w:snapToGrid/>
        <w:spacing w:before="240" w:after="240" w:line="520" w:lineRule="exact"/>
        <w:rPr>
          <w:rFonts w:ascii="Times New Roman" w:hAnsi="Times New Roman" w:eastAsia="Times New Roman" w:cs="Times New Roman"/>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黑体" w:hAnsi="黑体" w:eastAsia="黑体" w:cs="黑体"/>
          <w:b w:val="0"/>
          <w:bCs w:val="0"/>
          <w:kern w:val="0"/>
          <w:sz w:val="32"/>
          <w:szCs w:val="32"/>
        </w:rPr>
        <w:t>十一、机构运行经费支出决算情况说明</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rPr>
      </w:pPr>
      <w:r>
        <w:rPr>
          <w:rFonts w:ascii="fang_song_gb2312" w:hAnsi="fang_song_gb2312" w:eastAsia="fang_song_gb2312" w:cs="fang_song_gb2312"/>
          <w:kern w:val="0"/>
          <w:sz w:val="27"/>
          <w:szCs w:val="27"/>
        </w:rPr>
        <w:t>   </w:t>
      </w:r>
      <w:r>
        <w:rPr>
          <w:rFonts w:ascii="fang_song_gb2312" w:hAnsi="fang_song_gb2312" w:eastAsia="fang_song_gb2312" w:cs="fang_song_gb2312"/>
          <w:kern w:val="0"/>
          <w:sz w:val="27"/>
          <w:szCs w:val="27"/>
          <w:u w:val="none"/>
        </w:rPr>
        <w:t xml:space="preserve"> </w:t>
      </w:r>
      <w:r>
        <w:rPr>
          <w:rFonts w:hint="eastAsia" w:ascii="仿宋_GB2312" w:hAnsi="仿宋_GB2312" w:eastAsia="仿宋_GB2312" w:cs="仿宋_GB2312"/>
          <w:kern w:val="0"/>
          <w:sz w:val="32"/>
          <w:szCs w:val="32"/>
          <w:u w:val="none"/>
        </w:rPr>
        <w:t xml:space="preserve"> 鄂尔多斯空港物流园区管理委员会部门2024年度公用经费支出决算615.33万元，与上年决算相比，减少1427.35万元，下降69.88%，变动原因：</w:t>
      </w:r>
      <w:r>
        <w:rPr>
          <w:rFonts w:hint="eastAsia" w:ascii="仿宋_GB2312" w:hAnsi="仿宋_GB2312" w:eastAsia="仿宋_GB2312" w:cs="仿宋_GB2312"/>
          <w:kern w:val="0"/>
          <w:sz w:val="32"/>
          <w:szCs w:val="32"/>
          <w:u w:val="none"/>
          <w:lang w:val="en-US" w:eastAsia="zh-CN"/>
        </w:rPr>
        <w:t>办公楼租赁费2023年在公用经费支出，2024年在项目支出</w:t>
      </w:r>
      <w:r>
        <w:rPr>
          <w:rFonts w:hint="eastAsia" w:ascii="仿宋_GB2312" w:hAnsi="仿宋_GB2312" w:eastAsia="仿宋_GB2312" w:cs="仿宋_GB2312"/>
          <w:kern w:val="0"/>
          <w:sz w:val="32"/>
          <w:szCs w:val="32"/>
          <w:u w:val="none"/>
        </w:rPr>
        <w:t>。其中，机关运行经费支出决算598.54万元。比上年决算相比，减少1427.42万元，下降70.46%，变动原因：</w:t>
      </w:r>
      <w:r>
        <w:rPr>
          <w:rFonts w:hint="eastAsia" w:ascii="仿宋_GB2312" w:hAnsi="仿宋_GB2312" w:eastAsia="仿宋_GB2312" w:cs="仿宋_GB2312"/>
          <w:kern w:val="0"/>
          <w:sz w:val="32"/>
          <w:szCs w:val="32"/>
          <w:u w:val="none"/>
          <w:lang w:val="en-US" w:eastAsia="zh-CN"/>
        </w:rPr>
        <w:t>办公楼租赁费2023年在公用经费支出，2024年在项目支出</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jc w:val="left"/>
        <w:rPr>
          <w:rFonts w:hint="eastAsia" w:ascii="黑体" w:hAnsi="黑体" w:eastAsia="黑体" w:cs="黑体"/>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b w:val="0"/>
          <w:bCs w:val="0"/>
          <w:kern w:val="0"/>
          <w:sz w:val="32"/>
          <w:szCs w:val="32"/>
        </w:rPr>
        <w:t xml:space="preserve"> 十二、政府采购支出决算情况说明</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鄂尔多斯空港物流园区管理委员会部门 2024年度政府采购支出总额 2583.94万元，其中：政府采购货物支出 408.80万元、政府采购工程支出 770.41万元、政府采购服务支出 1404.73万元。政府采购授予中小企业合同金额 1716.07万元，占政府采购支出总额的</w:t>
      </w:r>
      <w:r>
        <w:rPr>
          <w:rFonts w:hint="eastAsia" w:ascii="仿宋_GB2312" w:hAnsi="仿宋_GB2312" w:eastAsia="仿宋_GB2312" w:cs="仿宋_GB2312"/>
          <w:kern w:val="0"/>
          <w:sz w:val="32"/>
          <w:szCs w:val="32"/>
          <w:u w:val="none"/>
          <w:lang w:val="en-US" w:eastAsia="zh-CN"/>
        </w:rPr>
        <w:t>66.41</w:t>
      </w:r>
      <w:r>
        <w:rPr>
          <w:rFonts w:hint="eastAsia" w:ascii="仿宋_GB2312" w:hAnsi="仿宋_GB2312" w:eastAsia="仿宋_GB2312" w:cs="仿宋_GB2312"/>
          <w:kern w:val="0"/>
          <w:sz w:val="32"/>
          <w:szCs w:val="32"/>
          <w:u w:val="none"/>
        </w:rPr>
        <w:t>%，其中：授予小微企业合同金额1716.07万元，占政府采购支出总额的</w:t>
      </w:r>
      <w:r>
        <w:rPr>
          <w:rFonts w:hint="eastAsia" w:ascii="仿宋_GB2312" w:hAnsi="仿宋_GB2312" w:eastAsia="仿宋_GB2312" w:cs="仿宋_GB2312"/>
          <w:kern w:val="0"/>
          <w:sz w:val="32"/>
          <w:szCs w:val="32"/>
          <w:u w:val="none"/>
          <w:lang w:val="en-US" w:eastAsia="zh-CN"/>
        </w:rPr>
        <w:t>66.41</w:t>
      </w:r>
      <w:r>
        <w:rPr>
          <w:rFonts w:hint="eastAsia" w:ascii="仿宋_GB2312" w:hAnsi="仿宋_GB2312" w:eastAsia="仿宋_GB2312" w:cs="仿宋_GB2312"/>
          <w:kern w:val="0"/>
          <w:sz w:val="32"/>
          <w:szCs w:val="32"/>
          <w:u w:val="none"/>
        </w:rPr>
        <w:t>%；货物采购授予中小企业合同金额占货物支出金额的</w:t>
      </w:r>
      <w:r>
        <w:rPr>
          <w:rFonts w:hint="eastAsia" w:ascii="仿宋_GB2312" w:hAnsi="仿宋_GB2312" w:eastAsia="仿宋_GB2312" w:cs="仿宋_GB2312"/>
          <w:kern w:val="0"/>
          <w:sz w:val="32"/>
          <w:szCs w:val="32"/>
          <w:u w:val="none"/>
          <w:lang w:val="en-US" w:eastAsia="zh-CN"/>
        </w:rPr>
        <w:t>99.9</w:t>
      </w:r>
      <w:r>
        <w:rPr>
          <w:rFonts w:hint="eastAsia" w:ascii="仿宋_GB2312" w:hAnsi="仿宋_GB2312" w:eastAsia="仿宋_GB2312" w:cs="仿宋_GB2312"/>
          <w:kern w:val="0"/>
          <w:sz w:val="32"/>
          <w:szCs w:val="32"/>
          <w:u w:val="none"/>
        </w:rPr>
        <w:t>%，工程采购授予中小企业合同金额占工程支出金额的</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%，服务采购授予中小企业合同金额占服务支出金额的</w:t>
      </w:r>
      <w:r>
        <w:rPr>
          <w:rFonts w:hint="eastAsia" w:ascii="仿宋_GB2312" w:hAnsi="仿宋_GB2312" w:eastAsia="仿宋_GB2312" w:cs="仿宋_GB2312"/>
          <w:kern w:val="0"/>
          <w:sz w:val="32"/>
          <w:szCs w:val="32"/>
          <w:u w:val="none"/>
          <w:lang w:val="en-US" w:eastAsia="zh-CN"/>
        </w:rPr>
        <w:t>38.24</w:t>
      </w:r>
      <w:r>
        <w:rPr>
          <w:rFonts w:hint="eastAsia" w:ascii="仿宋_GB2312" w:hAnsi="仿宋_GB2312" w:eastAsia="仿宋_GB2312" w:cs="仿宋_GB2312"/>
          <w:kern w:val="0"/>
          <w:sz w:val="32"/>
          <w:szCs w:val="32"/>
          <w:u w:val="none"/>
        </w:rPr>
        <w:t>%。</w:t>
      </w:r>
    </w:p>
    <w:p>
      <w:pPr>
        <w:pageBreakBefore w:val="0"/>
        <w:widowControl/>
        <w:kinsoku/>
        <w:wordWrap/>
        <w:overflowPunct/>
        <w:topLinePunct w:val="0"/>
        <w:autoSpaceDE/>
        <w:autoSpaceDN/>
        <w:bidi w:val="0"/>
        <w:adjustRightInd/>
        <w:snapToGrid/>
        <w:spacing w:before="240" w:after="240" w:line="520" w:lineRule="exact"/>
        <w:jc w:val="left"/>
        <w:rPr>
          <w:rFonts w:ascii="Calibri" w:hAnsi="Calibri" w:eastAsia="Calibri" w:cs="Calibri"/>
          <w:b/>
          <w:bCs/>
          <w:kern w:val="0"/>
          <w:sz w:val="27"/>
          <w:szCs w:val="27"/>
        </w:rPr>
      </w:pPr>
    </w:p>
    <w:p>
      <w:pPr>
        <w:pageBreakBefore w:val="0"/>
        <w:widowControl/>
        <w:kinsoku/>
        <w:wordWrap/>
        <w:overflowPunct/>
        <w:topLinePunct w:val="0"/>
        <w:autoSpaceDE/>
        <w:autoSpaceDN/>
        <w:bidi w:val="0"/>
        <w:adjustRightInd/>
        <w:snapToGrid/>
        <w:spacing w:before="240" w:after="240" w:line="520" w:lineRule="exact"/>
        <w:jc w:val="left"/>
        <w:rPr>
          <w:rFonts w:ascii="Calibri" w:hAnsi="Calibri" w:eastAsia="Calibri" w:cs="Calibri"/>
          <w:b/>
          <w:bCs/>
          <w:kern w:val="0"/>
          <w:sz w:val="27"/>
          <w:szCs w:val="27"/>
        </w:rPr>
      </w:pPr>
    </w:p>
    <w:p>
      <w:pPr>
        <w:pageBreakBefore w:val="0"/>
        <w:widowControl/>
        <w:kinsoku/>
        <w:wordWrap/>
        <w:overflowPunct/>
        <w:topLinePunct w:val="0"/>
        <w:autoSpaceDE/>
        <w:autoSpaceDN/>
        <w:bidi w:val="0"/>
        <w:adjustRightInd/>
        <w:snapToGrid/>
        <w:spacing w:before="240" w:after="240" w:line="520" w:lineRule="exact"/>
        <w:jc w:val="left"/>
        <w:rPr>
          <w:rFonts w:ascii="Times New Roman" w:hAnsi="Times New Roman" w:eastAsia="Times New Roman" w:cs="Times New Roman"/>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val="0"/>
          <w:bCs w:val="0"/>
          <w:kern w:val="0"/>
          <w:sz w:val="32"/>
          <w:szCs w:val="32"/>
        </w:rPr>
        <w:t xml:space="preserve"> 十三、国有资产占用情况说明</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u w:val="none"/>
        </w:rPr>
        <w:t>鄂尔多斯空港物流园区管理委员会部门截至2024年12月31日，本部门共有车辆 8辆，其中：副部（省）级及以上领导用车0 辆、主要负责人用车 0辆、机要通信用车 1辆、应急保障用车 4辆、执法执勤用车 0辆、特种专业技术用车 1辆、离退休干部服务用车 0辆，其他用车 2辆；单价100万元（含）以上的设备（不含车辆） 0台（套）。</w:t>
      </w:r>
    </w:p>
    <w:p>
      <w:pPr>
        <w:pageBreakBefore w:val="0"/>
        <w:widowControl/>
        <w:kinsoku/>
        <w:wordWrap/>
        <w:overflowPunct/>
        <w:topLinePunct w:val="0"/>
        <w:autoSpaceDE/>
        <w:autoSpaceDN/>
        <w:bidi w:val="0"/>
        <w:adjustRightInd/>
        <w:snapToGrid/>
        <w:spacing w:before="240" w:after="240" w:line="520" w:lineRule="exact"/>
        <w:jc w:val="left"/>
        <w:rPr>
          <w:rFonts w:ascii="Times New Roman" w:hAnsi="Times New Roman" w:eastAsia="Times New Roman" w:cs="Times New Roman"/>
          <w:b w:val="0"/>
          <w:bCs w:val="0"/>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val="0"/>
          <w:bCs w:val="0"/>
          <w:kern w:val="0"/>
          <w:sz w:val="32"/>
          <w:szCs w:val="32"/>
        </w:rPr>
        <w:t> </w:t>
      </w:r>
      <w:r>
        <w:rPr>
          <w:rFonts w:ascii="黑体" w:hAnsi="黑体" w:eastAsia="黑体" w:cs="黑体"/>
          <w:b w:val="0"/>
          <w:bCs w:val="0"/>
          <w:kern w:val="0"/>
          <w:sz w:val="32"/>
          <w:szCs w:val="32"/>
        </w:rPr>
        <w:t xml:space="preserve"> 十四、预算绩效情况说明</w:t>
      </w:r>
    </w:p>
    <w:p>
      <w:pPr>
        <w:pageBreakBefore w:val="0"/>
        <w:widowControl/>
        <w:kinsoku/>
        <w:wordWrap/>
        <w:overflowPunct/>
        <w:topLinePunct w:val="0"/>
        <w:autoSpaceDE/>
        <w:autoSpaceDN/>
        <w:bidi w:val="0"/>
        <w:adjustRightInd/>
        <w:snapToGrid/>
        <w:spacing w:before="240" w:after="240" w:line="520" w:lineRule="exact"/>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（一）预算绩效管理工作开展情况。</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鄂尔多斯空港物流园区管理委员会部门根据预算绩效管理要求组织对202</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年一般公共预算项目支出全面开展绩效自评，</w:t>
      </w:r>
      <w:r>
        <w:rPr>
          <w:rFonts w:hint="eastAsia" w:ascii="仿宋_GB2312" w:hAnsi="仿宋_GB2312" w:eastAsia="仿宋_GB2312" w:cs="仿宋_GB2312"/>
          <w:kern w:val="0"/>
          <w:sz w:val="32"/>
          <w:szCs w:val="32"/>
          <w:u w:val="none"/>
          <w:lang w:val="en-US" w:eastAsia="zh-CN"/>
        </w:rPr>
        <w:t>共涉及</w:t>
      </w:r>
      <w:r>
        <w:rPr>
          <w:rFonts w:hint="eastAsia" w:ascii="仿宋_GB2312" w:hAnsi="仿宋_GB2312" w:eastAsia="仿宋_GB2312" w:cs="仿宋_GB2312"/>
          <w:kern w:val="0"/>
          <w:sz w:val="32"/>
          <w:szCs w:val="32"/>
          <w:u w:val="none"/>
        </w:rPr>
        <w:t>项目</w:t>
      </w:r>
      <w:r>
        <w:rPr>
          <w:rFonts w:hint="eastAsia" w:ascii="仿宋_GB2312" w:hAnsi="仿宋_GB2312" w:eastAsia="仿宋_GB2312" w:cs="仿宋_GB2312"/>
          <w:kern w:val="0"/>
          <w:sz w:val="32"/>
          <w:szCs w:val="32"/>
          <w:u w:val="none"/>
          <w:lang w:val="en-US" w:eastAsia="zh-CN"/>
        </w:rPr>
        <w:t>102</w:t>
      </w:r>
      <w:r>
        <w:rPr>
          <w:rFonts w:hint="eastAsia" w:ascii="仿宋_GB2312" w:hAnsi="仿宋_GB2312" w:eastAsia="仿宋_GB2312" w:cs="仿宋_GB2312"/>
          <w:kern w:val="0"/>
          <w:sz w:val="32"/>
          <w:szCs w:val="32"/>
          <w:u w:val="none"/>
        </w:rPr>
        <w:t>个，共涉及资金</w:t>
      </w:r>
      <w:r>
        <w:rPr>
          <w:rFonts w:hint="eastAsia" w:ascii="仿宋_GB2312" w:hAnsi="仿宋_GB2312" w:eastAsia="仿宋_GB2312" w:cs="仿宋_GB2312"/>
          <w:kern w:val="0"/>
          <w:sz w:val="32"/>
          <w:szCs w:val="32"/>
          <w:u w:val="none"/>
          <w:lang w:val="en-US" w:eastAsia="zh-CN"/>
        </w:rPr>
        <w:t>18658.36</w:t>
      </w:r>
      <w:r>
        <w:rPr>
          <w:rFonts w:hint="eastAsia" w:ascii="仿宋_GB2312" w:hAnsi="仿宋_GB2312" w:eastAsia="仿宋_GB2312" w:cs="仿宋_GB2312"/>
          <w:kern w:val="0"/>
          <w:sz w:val="32"/>
          <w:szCs w:val="32"/>
          <w:u w:val="none"/>
        </w:rPr>
        <w:t>万元，占一般公共预算项目支出总额的100%；政府性基金预算项目</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个，</w:t>
      </w:r>
      <w:r>
        <w:rPr>
          <w:rFonts w:hint="eastAsia" w:ascii="仿宋_GB2312" w:hAnsi="仿宋_GB2312" w:eastAsia="仿宋_GB2312" w:cs="仿宋_GB2312"/>
          <w:kern w:val="0"/>
          <w:sz w:val="32"/>
          <w:szCs w:val="32"/>
          <w:u w:val="none"/>
          <w:lang w:val="en-US" w:eastAsia="zh-CN"/>
        </w:rPr>
        <w:t>共涉及</w:t>
      </w:r>
      <w:r>
        <w:rPr>
          <w:rFonts w:hint="eastAsia" w:ascii="仿宋_GB2312" w:hAnsi="仿宋_GB2312" w:eastAsia="仿宋_GB2312" w:cs="仿宋_GB2312"/>
          <w:kern w:val="0"/>
          <w:sz w:val="32"/>
          <w:szCs w:val="32"/>
          <w:u w:val="none"/>
        </w:rPr>
        <w:t>项目</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个，共涉及资金</w:t>
      </w:r>
      <w:r>
        <w:rPr>
          <w:rFonts w:hint="eastAsia" w:ascii="仿宋_GB2312" w:hAnsi="仿宋_GB2312" w:eastAsia="仿宋_GB2312" w:cs="仿宋_GB2312"/>
          <w:kern w:val="0"/>
          <w:sz w:val="32"/>
          <w:szCs w:val="32"/>
          <w:u w:val="none"/>
          <w:lang w:val="en-US" w:eastAsia="zh-CN"/>
        </w:rPr>
        <w:t>781.86</w:t>
      </w:r>
      <w:r>
        <w:rPr>
          <w:rFonts w:hint="eastAsia" w:ascii="仿宋_GB2312" w:hAnsi="仿宋_GB2312" w:eastAsia="仿宋_GB2312" w:cs="仿宋_GB2312"/>
          <w:kern w:val="0"/>
          <w:sz w:val="32"/>
          <w:szCs w:val="32"/>
          <w:u w:val="none"/>
        </w:rPr>
        <w:t>万元</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占应纳入绩效自评的政府性基金预算项目支出总额的100%。</w:t>
      </w:r>
    </w:p>
    <w:p>
      <w:pPr>
        <w:pageBreakBefore w:val="0"/>
        <w:widowControl/>
        <w:kinsoku/>
        <w:wordWrap/>
        <w:overflowPunct/>
        <w:topLinePunct w:val="0"/>
        <w:autoSpaceDE/>
        <w:autoSpaceDN/>
        <w:bidi w:val="0"/>
        <w:adjustRightInd/>
        <w:snapToGrid/>
        <w:spacing w:before="240" w:after="240" w:line="520" w:lineRule="exact"/>
        <w:ind w:firstLine="640" w:firstLineChars="200"/>
        <w:jc w:val="left"/>
        <w:rPr>
          <w:rFonts w:hint="eastAsia" w:ascii="仿宋_GB2312" w:hAnsi="仿宋_GB2312" w:eastAsia="仿宋_GB2312" w:cs="仿宋_GB2312"/>
          <w:b/>
          <w:bCs/>
          <w:kern w:val="0"/>
          <w:sz w:val="32"/>
          <w:szCs w:val="32"/>
        </w:rPr>
      </w:pPr>
      <w:r>
        <w:rPr>
          <w:rFonts w:hint="eastAsia" w:ascii="仿宋_GB2312" w:hAnsi="仿宋_GB2312" w:eastAsia="仿宋_GB2312" w:cs="仿宋_GB2312"/>
          <w:kern w:val="0"/>
          <w:sz w:val="32"/>
          <w:szCs w:val="32"/>
          <w:u w:val="none"/>
          <w:lang w:val="en-US" w:eastAsia="zh-CN"/>
        </w:rPr>
        <w:t>本部门未对项目开展重点绩效评价。</w:t>
      </w:r>
      <w:r>
        <w:rPr>
          <w:rFonts w:hint="eastAsia" w:ascii="仿宋_GB2312" w:hAnsi="仿宋_GB2312" w:eastAsia="仿宋_GB2312" w:cs="仿宋_GB2312"/>
          <w:b/>
          <w:bCs/>
          <w:kern w:val="0"/>
          <w:sz w:val="32"/>
          <w:szCs w:val="32"/>
        </w:rPr>
        <w:t xml:space="preserve">  </w:t>
      </w:r>
    </w:p>
    <w:p>
      <w:pPr>
        <w:pageBreakBefore w:val="0"/>
        <w:widowControl/>
        <w:kinsoku/>
        <w:wordWrap/>
        <w:overflowPunct/>
        <w:topLinePunct w:val="0"/>
        <w:autoSpaceDE/>
        <w:autoSpaceDN/>
        <w:bidi w:val="0"/>
        <w:adjustRightInd/>
        <w:snapToGrid/>
        <w:spacing w:before="240" w:after="240" w:line="520" w:lineRule="exact"/>
        <w:ind w:firstLine="640" w:firstLineChars="200"/>
        <w:jc w:val="left"/>
        <w:rPr>
          <w:rFonts w:hint="eastAsia" w:ascii="楷体_GB2312" w:hAnsi="楷体_GB2312" w:eastAsia="楷体_GB2312" w:cs="楷体_GB2312"/>
          <w:b w:val="0"/>
          <w:bCs w:val="0"/>
          <w:kern w:val="0"/>
          <w:sz w:val="32"/>
          <w:szCs w:val="32"/>
        </w:rPr>
      </w:pPr>
      <w:r>
        <w:rPr>
          <w:rFonts w:hint="eastAsia" w:ascii="楷体_GB2312" w:hAnsi="楷体_GB2312" w:eastAsia="楷体_GB2312" w:cs="楷体_GB2312"/>
          <w:b w:val="0"/>
          <w:bCs w:val="0"/>
          <w:kern w:val="0"/>
          <w:sz w:val="32"/>
          <w:szCs w:val="32"/>
        </w:rPr>
        <w:t>（二）部门决算中项目绩效自评结果。</w:t>
      </w:r>
    </w:p>
    <w:p>
      <w:pPr>
        <w:pageBreakBefore w:val="0"/>
        <w:widowControl/>
        <w:kinsoku/>
        <w:wordWrap/>
        <w:overflowPunct/>
        <w:topLinePunct w:val="0"/>
        <w:autoSpaceDE/>
        <w:autoSpaceDN/>
        <w:bidi w:val="0"/>
        <w:adjustRightInd/>
        <w:snapToGrid/>
        <w:spacing w:before="240" w:after="240" w:line="520" w:lineRule="exact"/>
        <w:rPr>
          <w:rFonts w:hint="eastAsia" w:ascii="仿宋_GB2312" w:hAnsi="仿宋_GB2312" w:eastAsia="仿宋_GB2312" w:cs="仿宋_GB2312"/>
          <w:kern w:val="0"/>
          <w:sz w:val="32"/>
          <w:szCs w:val="32"/>
          <w:u w:val="none"/>
        </w:rPr>
      </w:pPr>
      <w:r>
        <w:rPr>
          <w:rFonts w:ascii="fang_song_gb2312" w:hAnsi="fang_song_gb2312" w:eastAsia="fang_song_gb2312" w:cs="fang_song_gb2312"/>
          <w:kern w:val="0"/>
          <w:sz w:val="27"/>
          <w:szCs w:val="27"/>
        </w:rPr>
        <w:t>   </w:t>
      </w:r>
      <w:r>
        <w:rPr>
          <w:rFonts w:hint="eastAsia" w:ascii="仿宋_GB2312" w:hAnsi="仿宋_GB2312" w:eastAsia="仿宋_GB2312" w:cs="仿宋_GB2312"/>
          <w:kern w:val="0"/>
          <w:sz w:val="32"/>
          <w:szCs w:val="32"/>
          <w:u w:val="none"/>
        </w:rPr>
        <w:t xml:space="preserve"> 鄂尔多斯空港物流园区管理委员会部门202</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年度在决算中反映</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个一般公共预算项目，以及</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rPr>
        <w:t>个政府性基金项目，共</w:t>
      </w: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rPr>
        <w:t>个项目的绩效自评结果。</w:t>
      </w:r>
    </w:p>
    <w:p>
      <w:pPr>
        <w:pageBreakBefore w:val="0"/>
        <w:widowControl/>
        <w:kinsoku/>
        <w:wordWrap/>
        <w:overflowPunct/>
        <w:topLinePunct w:val="0"/>
        <w:autoSpaceDE/>
        <w:autoSpaceDN/>
        <w:bidi w:val="0"/>
        <w:adjustRightInd/>
        <w:snapToGrid/>
        <w:spacing w:before="240" w:after="240" w:line="520" w:lineRule="exact"/>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1.财政金融局</w:t>
      </w:r>
      <w:r>
        <w:rPr>
          <w:rFonts w:hint="eastAsia" w:ascii="仿宋_GB2312" w:hAnsi="仿宋_GB2312" w:eastAsia="仿宋_GB2312" w:cs="仿宋_GB2312"/>
          <w:kern w:val="0"/>
          <w:sz w:val="32"/>
          <w:szCs w:val="32"/>
          <w:u w:val="none"/>
          <w:lang w:val="en-US" w:eastAsia="zh-CN"/>
        </w:rPr>
        <w:t>业务经费</w:t>
      </w:r>
      <w:r>
        <w:rPr>
          <w:rFonts w:hint="eastAsia" w:ascii="仿宋_GB2312" w:hAnsi="仿宋_GB2312" w:eastAsia="仿宋_GB2312" w:cs="仿宋_GB2312"/>
          <w:kern w:val="0"/>
          <w:sz w:val="32"/>
          <w:szCs w:val="32"/>
          <w:u w:val="none"/>
        </w:rPr>
        <w:t>项目自评综述：根据年初设定的绩效目标，项目自评得分</w:t>
      </w:r>
      <w:r>
        <w:rPr>
          <w:rFonts w:hint="eastAsia" w:ascii="仿宋_GB2312" w:hAnsi="仿宋_GB2312" w:eastAsia="仿宋_GB2312" w:cs="仿宋_GB2312"/>
          <w:kern w:val="0"/>
          <w:sz w:val="32"/>
          <w:szCs w:val="32"/>
          <w:u w:val="none"/>
          <w:lang w:val="en-US" w:eastAsia="zh-CN"/>
        </w:rPr>
        <w:t>97.86</w:t>
      </w:r>
      <w:r>
        <w:rPr>
          <w:rFonts w:hint="eastAsia" w:ascii="仿宋_GB2312" w:hAnsi="仿宋_GB2312" w:eastAsia="仿宋_GB2312" w:cs="仿宋_GB2312"/>
          <w:kern w:val="0"/>
          <w:sz w:val="32"/>
          <w:szCs w:val="32"/>
          <w:u w:val="none"/>
        </w:rPr>
        <w:t>分。全年预算数为</w:t>
      </w:r>
      <w:r>
        <w:rPr>
          <w:rFonts w:hint="eastAsia" w:ascii="仿宋_GB2312" w:hAnsi="仿宋_GB2312" w:eastAsia="仿宋_GB2312" w:cs="仿宋_GB2312"/>
          <w:kern w:val="0"/>
          <w:sz w:val="32"/>
          <w:szCs w:val="32"/>
          <w:u w:val="none"/>
          <w:lang w:val="en-US" w:eastAsia="zh-CN"/>
        </w:rPr>
        <w:t>35</w:t>
      </w:r>
      <w:r>
        <w:rPr>
          <w:rFonts w:hint="eastAsia" w:ascii="仿宋_GB2312" w:hAnsi="仿宋_GB2312" w:eastAsia="仿宋_GB2312" w:cs="仿宋_GB2312"/>
          <w:kern w:val="0"/>
          <w:sz w:val="32"/>
          <w:szCs w:val="32"/>
          <w:u w:val="none"/>
        </w:rPr>
        <w:t>万元，执行数为</w:t>
      </w:r>
      <w:r>
        <w:rPr>
          <w:rFonts w:hint="eastAsia" w:ascii="仿宋_GB2312" w:hAnsi="仿宋_GB2312" w:eastAsia="仿宋_GB2312" w:cs="仿宋_GB2312"/>
          <w:kern w:val="0"/>
          <w:sz w:val="32"/>
          <w:szCs w:val="32"/>
          <w:u w:val="none"/>
          <w:lang w:val="en-US" w:eastAsia="zh-CN"/>
        </w:rPr>
        <w:t>27.5</w:t>
      </w:r>
      <w:r>
        <w:rPr>
          <w:rFonts w:hint="eastAsia" w:ascii="仿宋_GB2312" w:hAnsi="仿宋_GB2312" w:eastAsia="仿宋_GB2312" w:cs="仿宋_GB2312"/>
          <w:kern w:val="0"/>
          <w:sz w:val="32"/>
          <w:szCs w:val="32"/>
          <w:u w:val="none"/>
        </w:rPr>
        <w:t>万元，完成预算的</w:t>
      </w:r>
      <w:r>
        <w:rPr>
          <w:rFonts w:hint="eastAsia" w:ascii="仿宋_GB2312" w:hAnsi="仿宋_GB2312" w:eastAsia="仿宋_GB2312" w:cs="仿宋_GB2312"/>
          <w:kern w:val="0"/>
          <w:sz w:val="32"/>
          <w:szCs w:val="32"/>
          <w:u w:val="none"/>
          <w:lang w:val="en-US" w:eastAsia="zh-CN"/>
        </w:rPr>
        <w:t>78.57</w:t>
      </w:r>
      <w:r>
        <w:rPr>
          <w:rFonts w:hint="eastAsia" w:ascii="仿宋_GB2312" w:hAnsi="仿宋_GB2312" w:eastAsia="仿宋_GB2312" w:cs="仿宋_GB2312"/>
          <w:kern w:val="0"/>
          <w:sz w:val="32"/>
          <w:szCs w:val="32"/>
          <w:u w:val="none"/>
        </w:rPr>
        <w:t>%。项目绩效目标完成情况：按照年初预算安排计划，完成了2024年所有项目的预算绩效评价工作，</w:t>
      </w:r>
      <w:r>
        <w:rPr>
          <w:rFonts w:hint="eastAsia" w:ascii="仿宋_GB2312" w:hAnsi="仿宋_GB2312" w:eastAsia="仿宋_GB2312" w:cs="仿宋_GB2312"/>
          <w:kern w:val="0"/>
          <w:sz w:val="32"/>
          <w:szCs w:val="32"/>
          <w:u w:val="none"/>
          <w:lang w:val="en-US" w:eastAsia="zh-CN"/>
        </w:rPr>
        <w:t>业务咨询覆盖率、业务咨询项目完成及时率、成本控制率等核心指标都达到预期比例，</w:t>
      </w:r>
      <w:r>
        <w:rPr>
          <w:rFonts w:hint="eastAsia" w:ascii="仿宋_GB2312" w:hAnsi="仿宋_GB2312" w:eastAsia="仿宋_GB2312" w:cs="仿宋_GB2312"/>
          <w:kern w:val="0"/>
          <w:sz w:val="32"/>
          <w:szCs w:val="32"/>
          <w:u w:val="none"/>
        </w:rPr>
        <w:t>提高了工作质量和效率</w:t>
      </w:r>
      <w:r>
        <w:rPr>
          <w:rFonts w:hint="eastAsia" w:ascii="仿宋_GB2312" w:hAnsi="仿宋_GB2312" w:eastAsia="仿宋_GB2312" w:cs="仿宋_GB2312"/>
          <w:kern w:val="0"/>
          <w:sz w:val="32"/>
          <w:szCs w:val="32"/>
          <w:u w:val="none"/>
          <w:lang w:eastAsia="zh-CN"/>
        </w:rPr>
        <w:t>，为下一步开展绩效评价工作提供了</w:t>
      </w:r>
      <w:r>
        <w:rPr>
          <w:rFonts w:hint="eastAsia" w:ascii="仿宋_GB2312" w:hAnsi="仿宋_GB2312" w:eastAsia="仿宋_GB2312" w:cs="仿宋_GB2312"/>
          <w:kern w:val="0"/>
          <w:sz w:val="32"/>
          <w:szCs w:val="32"/>
          <w:u w:val="none"/>
          <w:lang w:val="en-US" w:eastAsia="zh-CN"/>
        </w:rPr>
        <w:t>保证</w:t>
      </w:r>
      <w:r>
        <w:rPr>
          <w:rFonts w:hint="eastAsia" w:ascii="仿宋_GB2312" w:hAnsi="仿宋_GB2312" w:eastAsia="仿宋_GB2312" w:cs="仿宋_GB2312"/>
          <w:kern w:val="0"/>
          <w:sz w:val="32"/>
          <w:szCs w:val="32"/>
          <w:u w:val="none"/>
        </w:rPr>
        <w:t>。发现的主要问题：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p>
    <w:tbl>
      <w:tblPr>
        <w:tblStyle w:val="19"/>
        <w:tblW w:w="96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76"/>
        <w:gridCol w:w="764"/>
        <w:gridCol w:w="765"/>
        <w:gridCol w:w="1"/>
        <w:gridCol w:w="1001"/>
        <w:gridCol w:w="1"/>
        <w:gridCol w:w="798"/>
        <w:gridCol w:w="765"/>
        <w:gridCol w:w="848"/>
        <w:gridCol w:w="680"/>
        <w:gridCol w:w="714"/>
        <w:gridCol w:w="1"/>
        <w:gridCol w:w="799"/>
        <w:gridCol w:w="797"/>
        <w:gridCol w:w="10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36" w:hRule="atLeast"/>
        </w:trPr>
        <w:tc>
          <w:tcPr>
            <w:tcW w:w="9680"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67" w:hRule="atLeast"/>
        </w:trPr>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240"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财政金融局—业务经费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42" w:hRule="atLeast"/>
        </w:trPr>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33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38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42" w:hRule="atLeast"/>
        </w:trPr>
        <w:tc>
          <w:tcPr>
            <w:tcW w:w="14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0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5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42" w:hRule="atLeast"/>
        </w:trPr>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10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5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27.5</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78.57</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84" w:hRule="atLeast"/>
        </w:trPr>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10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5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27.5</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78.57</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42" w:hRule="atLeast"/>
        </w:trPr>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10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42" w:hRule="atLeast"/>
        </w:trPr>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0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6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1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59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67" w:hRule="atLeast"/>
        </w:trPr>
        <w:tc>
          <w:tcPr>
            <w:tcW w:w="14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17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06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436" w:hRule="atLeast"/>
        </w:trPr>
        <w:tc>
          <w:tcPr>
            <w:tcW w:w="14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17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为推进园区重点预算项目，按时保质保量完成预算绩效评价。</w:t>
            </w:r>
          </w:p>
        </w:tc>
        <w:tc>
          <w:tcPr>
            <w:tcW w:w="406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按照年初预算安排计划，完成了2024年所有项目的预算绩效评价工作，提高了工作质量和效率，为下一步开展绩效评价工作提供了遵循。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85"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76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0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7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6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7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85" w:hRule="atLeast"/>
        </w:trPr>
        <w:tc>
          <w:tcPr>
            <w:tcW w:w="67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76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766"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业务咨询种类</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种</w:t>
            </w: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业务咨询次数</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工作目标完成率</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业务咨询覆盖率</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业务咨询项目完成及时率</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业务开展及时性</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每年开展</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业务咨询费用成本</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27.50</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成本控制率</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76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业务咨询工作实施完成率</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对业务咨询工作的持续影响</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85" w:hRule="atLeast"/>
        </w:trPr>
        <w:tc>
          <w:tcPr>
            <w:tcW w:w="67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6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76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00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业务咨询单位满意度</w:t>
            </w:r>
          </w:p>
        </w:tc>
        <w:tc>
          <w:tcPr>
            <w:tcW w:w="7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6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68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7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0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7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按照年初预算安排，序时完成。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9" w:hRule="atLeast"/>
        </w:trPr>
        <w:tc>
          <w:tcPr>
            <w:tcW w:w="701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97.86</w:t>
            </w:r>
          </w:p>
        </w:tc>
        <w:tc>
          <w:tcPr>
            <w:tcW w:w="1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.建设管理局环卫专项项目自评综述：根据年初设定的绩效目标，项目自评得分</w:t>
      </w:r>
      <w:r>
        <w:rPr>
          <w:rFonts w:hint="eastAsia" w:ascii="仿宋_GB2312" w:hAnsi="仿宋_GB2312" w:eastAsia="仿宋_GB2312" w:cs="仿宋_GB2312"/>
          <w:kern w:val="0"/>
          <w:sz w:val="32"/>
          <w:szCs w:val="32"/>
          <w:u w:val="none"/>
          <w:lang w:val="en-US" w:eastAsia="zh-CN"/>
        </w:rPr>
        <w:t>91.82</w:t>
      </w:r>
      <w:r>
        <w:rPr>
          <w:rFonts w:hint="eastAsia" w:ascii="仿宋_GB2312" w:hAnsi="仿宋_GB2312" w:eastAsia="仿宋_GB2312" w:cs="仿宋_GB2312"/>
          <w:kern w:val="0"/>
          <w:sz w:val="32"/>
          <w:szCs w:val="32"/>
          <w:u w:val="none"/>
        </w:rPr>
        <w:t>分。全年预算数为</w:t>
      </w:r>
      <w:r>
        <w:rPr>
          <w:rFonts w:hint="eastAsia" w:ascii="仿宋_GB2312" w:hAnsi="仿宋_GB2312" w:eastAsia="仿宋_GB2312" w:cs="仿宋_GB2312"/>
          <w:kern w:val="0"/>
          <w:sz w:val="32"/>
          <w:szCs w:val="32"/>
          <w:u w:val="none"/>
          <w:lang w:val="en-US" w:eastAsia="zh-CN"/>
        </w:rPr>
        <w:t>370</w:t>
      </w:r>
      <w:r>
        <w:rPr>
          <w:rFonts w:hint="eastAsia" w:ascii="仿宋_GB2312" w:hAnsi="仿宋_GB2312" w:eastAsia="仿宋_GB2312" w:cs="仿宋_GB2312"/>
          <w:kern w:val="0"/>
          <w:sz w:val="32"/>
          <w:szCs w:val="32"/>
          <w:u w:val="none"/>
        </w:rPr>
        <w:t>万元，执行数为</w:t>
      </w:r>
      <w:r>
        <w:rPr>
          <w:rFonts w:hint="eastAsia" w:ascii="仿宋_GB2312" w:hAnsi="仿宋_GB2312" w:eastAsia="仿宋_GB2312" w:cs="仿宋_GB2312"/>
          <w:kern w:val="0"/>
          <w:sz w:val="32"/>
          <w:szCs w:val="32"/>
          <w:u w:val="none"/>
          <w:lang w:val="en-US" w:eastAsia="zh-CN"/>
        </w:rPr>
        <w:t>104.43</w:t>
      </w:r>
      <w:r>
        <w:rPr>
          <w:rFonts w:hint="eastAsia" w:ascii="仿宋_GB2312" w:hAnsi="仿宋_GB2312" w:eastAsia="仿宋_GB2312" w:cs="仿宋_GB2312"/>
          <w:kern w:val="0"/>
          <w:sz w:val="32"/>
          <w:szCs w:val="32"/>
          <w:u w:val="none"/>
        </w:rPr>
        <w:t>万元，完成预算的</w:t>
      </w:r>
      <w:r>
        <w:rPr>
          <w:rFonts w:hint="eastAsia" w:ascii="仿宋_GB2312" w:hAnsi="仿宋_GB2312" w:eastAsia="仿宋_GB2312" w:cs="仿宋_GB2312"/>
          <w:kern w:val="0"/>
          <w:sz w:val="32"/>
          <w:szCs w:val="32"/>
          <w:u w:val="none"/>
          <w:lang w:val="en-US" w:eastAsia="zh-CN"/>
        </w:rPr>
        <w:t>28.22</w:t>
      </w:r>
      <w:r>
        <w:rPr>
          <w:rFonts w:hint="eastAsia" w:ascii="仿宋_GB2312" w:hAnsi="仿宋_GB2312" w:eastAsia="仿宋_GB2312" w:cs="仿宋_GB2312"/>
          <w:kern w:val="0"/>
          <w:sz w:val="32"/>
          <w:szCs w:val="32"/>
          <w:u w:val="none"/>
        </w:rPr>
        <w:t>%。项目绩效目标完成情况：按照年初预算安排计划，完成了2024年</w:t>
      </w:r>
      <w:r>
        <w:rPr>
          <w:rFonts w:hint="eastAsia" w:ascii="仿宋_GB2312" w:hAnsi="仿宋_GB2312" w:eastAsia="仿宋_GB2312" w:cs="仿宋_GB2312"/>
          <w:kern w:val="0"/>
          <w:sz w:val="32"/>
          <w:szCs w:val="32"/>
          <w:u w:val="none"/>
          <w:lang w:val="en-US" w:eastAsia="zh-CN"/>
        </w:rPr>
        <w:t>市政环卫工作</w:t>
      </w:r>
      <w:r>
        <w:rPr>
          <w:rFonts w:hint="eastAsia" w:ascii="仿宋_GB2312" w:hAnsi="仿宋_GB2312" w:eastAsia="仿宋_GB2312" w:cs="仿宋_GB2312"/>
          <w:kern w:val="0"/>
          <w:sz w:val="32"/>
          <w:szCs w:val="32"/>
          <w:u w:val="none"/>
        </w:rPr>
        <w:t>，</w:t>
      </w:r>
      <w:r>
        <w:rPr>
          <w:rFonts w:hint="eastAsia" w:ascii="仿宋_GB2312" w:hAnsi="仿宋_GB2312" w:eastAsia="仿宋_GB2312" w:cs="仿宋_GB2312"/>
          <w:kern w:val="0"/>
          <w:sz w:val="32"/>
          <w:szCs w:val="32"/>
          <w:u w:val="none"/>
          <w:lang w:val="en-US" w:eastAsia="zh-CN"/>
        </w:rPr>
        <w:t>环卫保洁服务完成质量、街面干净整洁率、成本控制率等核心指标都达到预期比例，</w:t>
      </w:r>
      <w:r>
        <w:rPr>
          <w:rFonts w:hint="eastAsia" w:ascii="仿宋_GB2312" w:hAnsi="仿宋_GB2312" w:eastAsia="仿宋_GB2312" w:cs="仿宋_GB2312"/>
          <w:kern w:val="0"/>
          <w:sz w:val="32"/>
          <w:szCs w:val="32"/>
          <w:u w:val="none"/>
        </w:rPr>
        <w:t>有效</w:t>
      </w:r>
      <w:r>
        <w:rPr>
          <w:rFonts w:hint="eastAsia" w:ascii="仿宋_GB2312" w:hAnsi="仿宋_GB2312" w:eastAsia="仿宋_GB2312" w:cs="仿宋_GB2312"/>
          <w:kern w:val="0"/>
          <w:sz w:val="32"/>
          <w:szCs w:val="32"/>
          <w:u w:val="none"/>
          <w:lang w:val="en-US" w:eastAsia="zh-CN"/>
        </w:rPr>
        <w:t>提升了</w:t>
      </w:r>
      <w:r>
        <w:rPr>
          <w:rFonts w:hint="eastAsia" w:ascii="仿宋_GB2312" w:hAnsi="仿宋_GB2312" w:eastAsia="仿宋_GB2312" w:cs="仿宋_GB2312"/>
          <w:kern w:val="0"/>
          <w:sz w:val="32"/>
          <w:szCs w:val="32"/>
          <w:u w:val="none"/>
        </w:rPr>
        <w:t>市容市貌。发现的主要问题：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p>
    <w:tbl>
      <w:tblPr>
        <w:tblStyle w:val="19"/>
        <w:tblW w:w="94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82"/>
        <w:gridCol w:w="691"/>
        <w:gridCol w:w="614"/>
        <w:gridCol w:w="598"/>
        <w:gridCol w:w="896"/>
        <w:gridCol w:w="928"/>
        <w:gridCol w:w="849"/>
        <w:gridCol w:w="1023"/>
        <w:gridCol w:w="818"/>
        <w:gridCol w:w="897"/>
        <w:gridCol w:w="928"/>
        <w:gridCol w:w="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299" w:hRule="atLeast"/>
        </w:trPr>
        <w:tc>
          <w:tcPr>
            <w:tcW w:w="944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24" w:hRule="atLeast"/>
        </w:trPr>
        <w:tc>
          <w:tcPr>
            <w:tcW w:w="12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16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建设管理局-环卫专项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64" w:hRule="atLeast"/>
        </w:trPr>
        <w:tc>
          <w:tcPr>
            <w:tcW w:w="12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03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25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80" w:hRule="atLeast"/>
        </w:trPr>
        <w:tc>
          <w:tcPr>
            <w:tcW w:w="12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6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64" w:hRule="atLeast"/>
        </w:trPr>
        <w:tc>
          <w:tcPr>
            <w:tcW w:w="12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370</w:t>
            </w:r>
          </w:p>
        </w:tc>
        <w:tc>
          <w:tcPr>
            <w:tcW w:w="1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370</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104.43</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28.22 </w:t>
            </w:r>
          </w:p>
        </w:tc>
        <w:tc>
          <w:tcPr>
            <w:tcW w:w="6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80" w:hRule="atLeast"/>
        </w:trPr>
        <w:tc>
          <w:tcPr>
            <w:tcW w:w="12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370</w:t>
            </w:r>
          </w:p>
        </w:tc>
        <w:tc>
          <w:tcPr>
            <w:tcW w:w="1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370</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104.43</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28.22</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64" w:hRule="atLeast"/>
        </w:trPr>
        <w:tc>
          <w:tcPr>
            <w:tcW w:w="12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64" w:hRule="atLeast"/>
        </w:trPr>
        <w:tc>
          <w:tcPr>
            <w:tcW w:w="12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8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8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24" w:hRule="atLeast"/>
        </w:trPr>
        <w:tc>
          <w:tcPr>
            <w:tcW w:w="12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388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28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53" w:hRule="atLeast"/>
        </w:trPr>
        <w:tc>
          <w:tcPr>
            <w:tcW w:w="12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88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2024年完成城市保洁，有效提高市容市貌。</w:t>
            </w:r>
          </w:p>
        </w:tc>
        <w:tc>
          <w:tcPr>
            <w:tcW w:w="428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2024年已完成城市保洁，有效提高市容市貌。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29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6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6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9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1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8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6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617" w:hRule="atLeast"/>
        </w:trPr>
        <w:tc>
          <w:tcPr>
            <w:tcW w:w="582"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69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61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环卫保洁按月申请次数</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80"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环卫保洁按月完工量</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617"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环卫保洁服务完成质量</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299"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街面干净整洁率</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617"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保洁工作完成及时率</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80"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保洁完成时间</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2024年12月</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2024年12月</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80"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环卫保洁成本</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370</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239.65</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80"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成本控制率</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80"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6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改善市容市貌</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299"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改善居民生活环境</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299" w:hRule="atLeast"/>
        </w:trPr>
        <w:tc>
          <w:tcPr>
            <w:tcW w:w="582"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9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61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59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受益群众满意度</w:t>
            </w:r>
          </w:p>
        </w:tc>
        <w:tc>
          <w:tcPr>
            <w:tcW w:w="89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4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102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98.00</w:t>
            </w:r>
          </w:p>
        </w:tc>
        <w:tc>
          <w:tcPr>
            <w:tcW w:w="81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2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11" w:hRule="atLeast"/>
        </w:trPr>
        <w:tc>
          <w:tcPr>
            <w:tcW w:w="6999"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91.82</w:t>
            </w:r>
          </w:p>
        </w:tc>
        <w:tc>
          <w:tcPr>
            <w:tcW w:w="6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ind w:firstLine="640" w:firstLineChars="200"/>
        <w:rPr>
          <w:rFonts w:ascii="fang_song_gb2312" w:hAnsi="fang_song_gb2312" w:eastAsia="fang_song_gb2312" w:cs="fang_song_gb2312"/>
          <w:kern w:val="0"/>
          <w:sz w:val="27"/>
          <w:szCs w:val="27"/>
          <w:u w:val="none"/>
        </w:rPr>
      </w:pP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.建设管理局空港园区氢能产业园区空间布局规划项目自评综述：根据年初设定的绩效目标，项目自评得分</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分。全年预算数为</w:t>
      </w:r>
      <w:r>
        <w:rPr>
          <w:rFonts w:hint="eastAsia" w:ascii="仿宋_GB2312" w:hAnsi="仿宋_GB2312" w:eastAsia="仿宋_GB2312" w:cs="仿宋_GB2312"/>
          <w:kern w:val="0"/>
          <w:sz w:val="32"/>
          <w:szCs w:val="32"/>
          <w:u w:val="none"/>
          <w:lang w:val="en-US" w:eastAsia="zh-CN"/>
        </w:rPr>
        <w:t>47</w:t>
      </w:r>
      <w:r>
        <w:rPr>
          <w:rFonts w:hint="eastAsia" w:ascii="仿宋_GB2312" w:hAnsi="仿宋_GB2312" w:eastAsia="仿宋_GB2312" w:cs="仿宋_GB2312"/>
          <w:kern w:val="0"/>
          <w:sz w:val="32"/>
          <w:szCs w:val="32"/>
          <w:u w:val="none"/>
        </w:rPr>
        <w:t>万元，执行数为</w:t>
      </w:r>
      <w:r>
        <w:rPr>
          <w:rFonts w:hint="eastAsia" w:ascii="仿宋_GB2312" w:hAnsi="仿宋_GB2312" w:eastAsia="仿宋_GB2312" w:cs="仿宋_GB2312"/>
          <w:kern w:val="0"/>
          <w:sz w:val="32"/>
          <w:szCs w:val="32"/>
          <w:u w:val="none"/>
          <w:lang w:val="en-US" w:eastAsia="zh-CN"/>
        </w:rPr>
        <w:t>47</w:t>
      </w:r>
      <w:r>
        <w:rPr>
          <w:rFonts w:hint="eastAsia" w:ascii="仿宋_GB2312" w:hAnsi="仿宋_GB2312" w:eastAsia="仿宋_GB2312" w:cs="仿宋_GB2312"/>
          <w:kern w:val="0"/>
          <w:sz w:val="32"/>
          <w:szCs w:val="32"/>
          <w:u w:val="none"/>
        </w:rPr>
        <w:t>万元，完成预算的</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%。项目绩效目标完成情况：按照年初预算安排计划，编制</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零碳氢能产业示范园产业空间布局规划方案，编制</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空港物流园区02-02地块控制性详细规划修改必要性研究报告及修改方案</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规划编制完成率、规划调整及时率、成本控制率等核心指标都达到预期比例，</w:t>
      </w:r>
      <w:r>
        <w:rPr>
          <w:rFonts w:hint="eastAsia" w:ascii="仿宋_GB2312" w:hAnsi="仿宋_GB2312" w:eastAsia="仿宋_GB2312" w:cs="仿宋_GB2312"/>
          <w:kern w:val="0"/>
          <w:sz w:val="32"/>
          <w:szCs w:val="32"/>
          <w:u w:val="none"/>
        </w:rPr>
        <w:t>促进</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园区产业规划发展。发现的主要问题：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p>
    <w:tbl>
      <w:tblPr>
        <w:tblStyle w:val="19"/>
        <w:tblW w:w="96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4"/>
        <w:gridCol w:w="586"/>
        <w:gridCol w:w="851"/>
        <w:gridCol w:w="1"/>
        <w:gridCol w:w="779"/>
        <w:gridCol w:w="1"/>
        <w:gridCol w:w="566"/>
        <w:gridCol w:w="709"/>
        <w:gridCol w:w="1"/>
        <w:gridCol w:w="885"/>
        <w:gridCol w:w="1027"/>
        <w:gridCol w:w="1"/>
        <w:gridCol w:w="1062"/>
        <w:gridCol w:w="1"/>
        <w:gridCol w:w="832"/>
        <w:gridCol w:w="852"/>
        <w:gridCol w:w="1"/>
        <w:gridCol w:w="7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505" w:hRule="atLeast"/>
        </w:trPr>
        <w:tc>
          <w:tcPr>
            <w:tcW w:w="9640" w:type="dxa"/>
            <w:gridSpan w:val="1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4" w:hRule="atLeast"/>
        </w:trPr>
        <w:tc>
          <w:tcPr>
            <w:tcW w:w="13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330"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建设管理局---空港园区氢能产业园区空间布局规划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67" w:hRule="atLeast"/>
        </w:trPr>
        <w:tc>
          <w:tcPr>
            <w:tcW w:w="13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290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191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50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7" w:hRule="atLeast"/>
        </w:trPr>
        <w:tc>
          <w:tcPr>
            <w:tcW w:w="13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91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10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68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7" w:hRule="atLeast"/>
        </w:trPr>
        <w:tc>
          <w:tcPr>
            <w:tcW w:w="13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91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0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8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67" w:hRule="atLeast"/>
        </w:trPr>
        <w:tc>
          <w:tcPr>
            <w:tcW w:w="13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91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0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8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67" w:hRule="atLeast"/>
        </w:trPr>
        <w:tc>
          <w:tcPr>
            <w:tcW w:w="13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91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8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97" w:hRule="atLeast"/>
        </w:trPr>
        <w:tc>
          <w:tcPr>
            <w:tcW w:w="13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2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91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0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8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08" w:hRule="atLeast"/>
        </w:trPr>
        <w:tc>
          <w:tcPr>
            <w:tcW w:w="131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37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53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505" w:hRule="atLeast"/>
        </w:trPr>
        <w:tc>
          <w:tcPr>
            <w:tcW w:w="131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79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2024年完成编制零碳氢能产业示范园产业空间布局规划方案,编制空港物流园区02-02地块控制性详细规划修改必要性研究报告及修改方案。</w:t>
            </w:r>
          </w:p>
        </w:tc>
        <w:tc>
          <w:tcPr>
            <w:tcW w:w="453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2024年已完成编制零碳氢能产业示范园产业空间布局规划方案,编制空港物流园区02-02地块控制性详细规划修改必要性研究报告及修改方案。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505" w:hRule="atLeast"/>
        </w:trPr>
        <w:tc>
          <w:tcPr>
            <w:tcW w:w="7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5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5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7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10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106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7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00" w:hRule="atLeast"/>
        </w:trPr>
        <w:tc>
          <w:tcPr>
            <w:tcW w:w="724"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58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52"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规划编制次数</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00"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规划调整次数</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规划编制完成率</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规划调整完成率</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规划调整及时率</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规划编制及时率</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00"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规划编制费用</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规划成本控制率</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5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提高土地出让收入</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提高土地集约利用率</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提高生态可持续发展</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505"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促进园区产业规划发展</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显著提升</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6" w:hRule="atLeast"/>
        </w:trPr>
        <w:tc>
          <w:tcPr>
            <w:tcW w:w="724"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8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5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78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入园企业满意度</w:t>
            </w:r>
          </w:p>
        </w:tc>
        <w:tc>
          <w:tcPr>
            <w:tcW w:w="5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710"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85"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102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106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33"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5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62"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24" w:hRule="atLeast"/>
        </w:trPr>
        <w:tc>
          <w:tcPr>
            <w:tcW w:w="7193"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76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.2024年综保区产业发展及自贸区申建经费项目自评综述：根据年初设定的绩效目标，项目自评得分</w:t>
      </w:r>
      <w:r>
        <w:rPr>
          <w:rFonts w:hint="eastAsia" w:ascii="仿宋_GB2312" w:hAnsi="仿宋_GB2312" w:eastAsia="仿宋_GB2312" w:cs="仿宋_GB2312"/>
          <w:kern w:val="0"/>
          <w:sz w:val="32"/>
          <w:szCs w:val="32"/>
          <w:u w:val="none"/>
          <w:lang w:val="en-US" w:eastAsia="zh-CN"/>
        </w:rPr>
        <w:t>97.86</w:t>
      </w:r>
      <w:r>
        <w:rPr>
          <w:rFonts w:hint="eastAsia" w:ascii="仿宋_GB2312" w:hAnsi="仿宋_GB2312" w:eastAsia="仿宋_GB2312" w:cs="仿宋_GB2312"/>
          <w:kern w:val="0"/>
          <w:sz w:val="32"/>
          <w:szCs w:val="32"/>
          <w:u w:val="none"/>
        </w:rPr>
        <w:t>分。全年预算数为</w:t>
      </w:r>
      <w:r>
        <w:rPr>
          <w:rFonts w:hint="eastAsia" w:ascii="仿宋_GB2312" w:hAnsi="仿宋_GB2312" w:eastAsia="仿宋_GB2312" w:cs="仿宋_GB2312"/>
          <w:kern w:val="0"/>
          <w:sz w:val="32"/>
          <w:szCs w:val="32"/>
          <w:u w:val="none"/>
          <w:lang w:val="en-US" w:eastAsia="zh-CN"/>
        </w:rPr>
        <w:t>2000</w:t>
      </w:r>
      <w:r>
        <w:rPr>
          <w:rFonts w:hint="eastAsia" w:ascii="仿宋_GB2312" w:hAnsi="仿宋_GB2312" w:eastAsia="仿宋_GB2312" w:cs="仿宋_GB2312"/>
          <w:kern w:val="0"/>
          <w:sz w:val="32"/>
          <w:szCs w:val="32"/>
          <w:u w:val="none"/>
        </w:rPr>
        <w:t>万元，执行数为</w:t>
      </w:r>
      <w:r>
        <w:rPr>
          <w:rFonts w:hint="eastAsia" w:ascii="仿宋_GB2312" w:hAnsi="仿宋_GB2312" w:eastAsia="仿宋_GB2312" w:cs="仿宋_GB2312"/>
          <w:kern w:val="0"/>
          <w:sz w:val="32"/>
          <w:szCs w:val="32"/>
          <w:u w:val="none"/>
          <w:lang w:val="en-US" w:eastAsia="zh-CN"/>
        </w:rPr>
        <w:t>1971.71</w:t>
      </w:r>
      <w:r>
        <w:rPr>
          <w:rFonts w:hint="eastAsia" w:ascii="仿宋_GB2312" w:hAnsi="仿宋_GB2312" w:eastAsia="仿宋_GB2312" w:cs="仿宋_GB2312"/>
          <w:kern w:val="0"/>
          <w:sz w:val="32"/>
          <w:szCs w:val="32"/>
          <w:u w:val="none"/>
        </w:rPr>
        <w:t>万元，完成预算的</w:t>
      </w:r>
      <w:r>
        <w:rPr>
          <w:rFonts w:hint="eastAsia" w:ascii="仿宋_GB2312" w:hAnsi="仿宋_GB2312" w:eastAsia="仿宋_GB2312" w:cs="仿宋_GB2312"/>
          <w:kern w:val="0"/>
          <w:sz w:val="32"/>
          <w:szCs w:val="32"/>
          <w:u w:val="none"/>
          <w:lang w:val="en-US" w:eastAsia="zh-CN"/>
        </w:rPr>
        <w:t>98.59</w:t>
      </w:r>
      <w:r>
        <w:rPr>
          <w:rFonts w:hint="eastAsia" w:ascii="仿宋_GB2312" w:hAnsi="仿宋_GB2312" w:eastAsia="仿宋_GB2312" w:cs="仿宋_GB2312"/>
          <w:kern w:val="0"/>
          <w:sz w:val="32"/>
          <w:szCs w:val="32"/>
          <w:u w:val="none"/>
        </w:rPr>
        <w:t>%。项目绩效目标完成情况：按照年初预算安排计划，2024年支出政策补贴资金</w:t>
      </w:r>
      <w:r>
        <w:rPr>
          <w:rFonts w:hint="eastAsia" w:ascii="仿宋_GB2312" w:hAnsi="仿宋_GB2312" w:eastAsia="仿宋_GB2312" w:cs="仿宋_GB2312"/>
          <w:kern w:val="0"/>
          <w:sz w:val="32"/>
          <w:szCs w:val="32"/>
          <w:u w:val="none"/>
          <w:lang w:val="en-US" w:eastAsia="zh-CN"/>
        </w:rPr>
        <w:t>1971.71</w:t>
      </w:r>
      <w:r>
        <w:rPr>
          <w:rFonts w:hint="eastAsia" w:ascii="仿宋_GB2312" w:hAnsi="仿宋_GB2312" w:eastAsia="仿宋_GB2312" w:cs="仿宋_GB2312"/>
          <w:kern w:val="0"/>
          <w:sz w:val="32"/>
          <w:szCs w:val="32"/>
          <w:u w:val="none"/>
        </w:rPr>
        <w:t>万元，用于招商引资、产业培育、扶持入园企业发展等工作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综保区产业发展资金专款专用率、政策补贴资金兑付及时率、项目资金合理利用率等核心指标都达到预期比例，</w:t>
      </w:r>
      <w:r>
        <w:rPr>
          <w:rFonts w:hint="eastAsia" w:ascii="仿宋_GB2312" w:hAnsi="仿宋_GB2312" w:eastAsia="仿宋_GB2312" w:cs="仿宋_GB2312"/>
          <w:kern w:val="0"/>
          <w:sz w:val="32"/>
          <w:szCs w:val="32"/>
          <w:u w:val="none"/>
        </w:rPr>
        <w:t>促进</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鄂尔多斯综合保税区高质量发展。发现的主要问题：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w:t>
      </w:r>
    </w:p>
    <w:tbl>
      <w:tblPr>
        <w:tblStyle w:val="19"/>
        <w:tblW w:w="96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98"/>
        <w:gridCol w:w="647"/>
        <w:gridCol w:w="750"/>
        <w:gridCol w:w="1"/>
        <w:gridCol w:w="988"/>
        <w:gridCol w:w="1"/>
        <w:gridCol w:w="635"/>
        <w:gridCol w:w="863"/>
        <w:gridCol w:w="1"/>
        <w:gridCol w:w="1131"/>
        <w:gridCol w:w="1130"/>
        <w:gridCol w:w="1"/>
        <w:gridCol w:w="636"/>
        <w:gridCol w:w="1"/>
        <w:gridCol w:w="718"/>
        <w:gridCol w:w="657"/>
        <w:gridCol w:w="8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250" w:hRule="atLeast"/>
        </w:trPr>
        <w:tc>
          <w:tcPr>
            <w:tcW w:w="9600" w:type="dxa"/>
            <w:gridSpan w:val="17"/>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3" w:hRule="atLeast"/>
        </w:trPr>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项目名称</w:t>
            </w:r>
          </w:p>
        </w:tc>
        <w:tc>
          <w:tcPr>
            <w:tcW w:w="8355"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2024年综保区产业发展及自贸区申建经费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72" w:hRule="atLeast"/>
        </w:trPr>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主管部门</w:t>
            </w:r>
          </w:p>
        </w:tc>
        <w:tc>
          <w:tcPr>
            <w:tcW w:w="3238"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22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实施单位</w:t>
            </w:r>
          </w:p>
        </w:tc>
        <w:tc>
          <w:tcPr>
            <w:tcW w:w="285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鄂尔多斯空港物流园区管理委员会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56" w:hRule="atLeast"/>
        </w:trPr>
        <w:tc>
          <w:tcPr>
            <w:tcW w:w="12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7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年初预算数</w:t>
            </w:r>
          </w:p>
        </w:tc>
        <w:tc>
          <w:tcPr>
            <w:tcW w:w="14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全年预算数</w:t>
            </w:r>
          </w:p>
        </w:tc>
        <w:tc>
          <w:tcPr>
            <w:tcW w:w="22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全年执行数</w:t>
            </w:r>
          </w:p>
        </w:tc>
        <w:tc>
          <w:tcPr>
            <w:tcW w:w="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分值</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执行率（%）</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12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年度资金总额</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2000</w:t>
            </w:r>
          </w:p>
        </w:tc>
        <w:tc>
          <w:tcPr>
            <w:tcW w:w="14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2000</w:t>
            </w:r>
          </w:p>
        </w:tc>
        <w:tc>
          <w:tcPr>
            <w:tcW w:w="22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1971.71</w:t>
            </w:r>
          </w:p>
        </w:tc>
        <w:tc>
          <w:tcPr>
            <w:tcW w:w="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98.59</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89" w:hRule="atLeast"/>
        </w:trPr>
        <w:tc>
          <w:tcPr>
            <w:tcW w:w="12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其中：财政拨款</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2000</w:t>
            </w:r>
          </w:p>
        </w:tc>
        <w:tc>
          <w:tcPr>
            <w:tcW w:w="14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2000</w:t>
            </w:r>
          </w:p>
        </w:tc>
        <w:tc>
          <w:tcPr>
            <w:tcW w:w="22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1971.71</w:t>
            </w:r>
          </w:p>
        </w:tc>
        <w:tc>
          <w:tcPr>
            <w:tcW w:w="6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98.59</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36" w:hRule="atLeast"/>
        </w:trPr>
        <w:tc>
          <w:tcPr>
            <w:tcW w:w="12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上年结转资金</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w:t>
            </w:r>
          </w:p>
        </w:tc>
        <w:tc>
          <w:tcPr>
            <w:tcW w:w="14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w:t>
            </w:r>
          </w:p>
        </w:tc>
        <w:tc>
          <w:tcPr>
            <w:tcW w:w="22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w:t>
            </w:r>
          </w:p>
        </w:tc>
        <w:tc>
          <w:tcPr>
            <w:tcW w:w="6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7" w:hRule="atLeast"/>
        </w:trPr>
        <w:tc>
          <w:tcPr>
            <w:tcW w:w="12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其他资金</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w:t>
            </w:r>
          </w:p>
        </w:tc>
        <w:tc>
          <w:tcPr>
            <w:tcW w:w="14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w:t>
            </w:r>
          </w:p>
        </w:tc>
        <w:tc>
          <w:tcPr>
            <w:tcW w:w="226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w:t>
            </w:r>
          </w:p>
        </w:tc>
        <w:tc>
          <w:tcPr>
            <w:tcW w:w="6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3" w:hRule="atLeast"/>
        </w:trPr>
        <w:tc>
          <w:tcPr>
            <w:tcW w:w="124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年度总体目标</w:t>
            </w:r>
          </w:p>
        </w:tc>
        <w:tc>
          <w:tcPr>
            <w:tcW w:w="437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预期目标</w:t>
            </w:r>
          </w:p>
        </w:tc>
        <w:tc>
          <w:tcPr>
            <w:tcW w:w="398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81" w:hRule="atLeast"/>
        </w:trPr>
        <w:tc>
          <w:tcPr>
            <w:tcW w:w="124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37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2024年计划支出政策补贴资金2000万元，用于招商引资、产业培育、扶持入园企业发展等工作，助力鄂尔多斯综合保税区高质量发展。</w:t>
            </w:r>
          </w:p>
        </w:tc>
        <w:tc>
          <w:tcPr>
            <w:tcW w:w="398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按照年初计划用于综保区基础设施建设、保税产业和招商引资宣传培训等。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78" w:hRule="atLeast"/>
        </w:trPr>
        <w:tc>
          <w:tcPr>
            <w:tcW w:w="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绩效指标</w:t>
            </w: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一级指标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二级指标</w:t>
            </w:r>
          </w:p>
        </w:tc>
        <w:tc>
          <w:tcPr>
            <w:tcW w:w="98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三级指标</w:t>
            </w:r>
          </w:p>
        </w:tc>
        <w:tc>
          <w:tcPr>
            <w:tcW w:w="63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指标性质</w:t>
            </w: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指标方向</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年度指标值</w:t>
            </w:r>
          </w:p>
        </w:tc>
        <w:tc>
          <w:tcPr>
            <w:tcW w:w="11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实际完成值</w:t>
            </w:r>
          </w:p>
        </w:tc>
        <w:tc>
          <w:tcPr>
            <w:tcW w:w="6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计量单位</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分值</w:t>
            </w:r>
          </w:p>
        </w:tc>
        <w:tc>
          <w:tcPr>
            <w:tcW w:w="6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得分</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24" w:hRule="atLeast"/>
        </w:trPr>
        <w:tc>
          <w:tcPr>
            <w:tcW w:w="59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绩效指标</w:t>
            </w:r>
          </w:p>
        </w:tc>
        <w:tc>
          <w:tcPr>
            <w:tcW w:w="64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产出指标</w:t>
            </w:r>
          </w:p>
        </w:tc>
        <w:tc>
          <w:tcPr>
            <w:tcW w:w="75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数量指标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发放政策补贴企业数量</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正向</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大于等于</w:t>
            </w: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家</w:t>
            </w: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76"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扶持入园企业数量</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正向</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大于等于</w:t>
            </w: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家</w:t>
            </w: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质量指标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区内企业进出口贸易额占全市外贸额比率</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正向</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大于等于</w:t>
            </w: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综保区产业发展资金专款专用率</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正向</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大于等于</w:t>
            </w: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98</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98</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55"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时效指标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政策补贴资金兑付及时率</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正向</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大于等于</w:t>
            </w: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62"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政策补贴资金兑付期限</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定性</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2024-12-31</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2024-12-21</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63"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成本指标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产业发展资金兑付金额</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反向</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小于等于</w:t>
            </w: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2000</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1971.71</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万元</w:t>
            </w: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90"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项目资金合理利用率</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正向</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大于等于</w:t>
            </w: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98</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98</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71"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效益指标</w:t>
            </w:r>
          </w:p>
        </w:tc>
        <w:tc>
          <w:tcPr>
            <w:tcW w:w="7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经济效益指标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带动鄂尔多斯市进出口贸易额</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定性</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持续促进</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持续促进</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464"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社会效益指标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促进鄂尔多斯综合保税区高质量发展</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定性</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持续促进</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持续促进</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7"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生态效益指标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促进生态文明建设</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定性</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持续促进</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持续促进</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33"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可持续影响指标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促进鄂尔多斯市外贸水平不断提升</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定性</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持续促进</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持续促进</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16" w:hRule="atLeast"/>
        </w:trPr>
        <w:tc>
          <w:tcPr>
            <w:tcW w:w="59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4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满意度指标</w:t>
            </w:r>
          </w:p>
        </w:tc>
        <w:tc>
          <w:tcPr>
            <w:tcW w:w="75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服务对象满意度指标</w:t>
            </w:r>
          </w:p>
        </w:tc>
        <w:tc>
          <w:tcPr>
            <w:tcW w:w="98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入园企业满意度</w:t>
            </w:r>
          </w:p>
        </w:tc>
        <w:tc>
          <w:tcPr>
            <w:tcW w:w="636"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正向</w:t>
            </w:r>
          </w:p>
        </w:tc>
        <w:tc>
          <w:tcPr>
            <w:tcW w:w="864"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大于等于</w:t>
            </w:r>
          </w:p>
        </w:tc>
        <w:tc>
          <w:tcPr>
            <w:tcW w:w="1131"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113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637"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71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65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84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50" w:hRule="atLeast"/>
        </w:trPr>
        <w:tc>
          <w:tcPr>
            <w:tcW w:w="7382"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总分</w:t>
            </w:r>
          </w:p>
        </w:tc>
        <w:tc>
          <w:tcPr>
            <w:tcW w:w="7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6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97.86</w:t>
            </w:r>
          </w:p>
        </w:tc>
        <w:tc>
          <w:tcPr>
            <w:tcW w:w="8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bl>
    <w:p>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rPr>
        <w:t>.建设管理局土方平衡工程等项目项目自评综述：根据年初设定的绩效目标，项目自评得分</w:t>
      </w:r>
      <w:r>
        <w:rPr>
          <w:rFonts w:hint="eastAsia" w:ascii="仿宋_GB2312" w:hAnsi="仿宋_GB2312" w:eastAsia="仿宋_GB2312" w:cs="仿宋_GB2312"/>
          <w:kern w:val="0"/>
          <w:sz w:val="32"/>
          <w:szCs w:val="32"/>
          <w:u w:val="none"/>
          <w:lang w:val="en-US" w:eastAsia="zh-CN"/>
        </w:rPr>
        <w:t>93.49</w:t>
      </w:r>
      <w:r>
        <w:rPr>
          <w:rFonts w:hint="eastAsia" w:ascii="仿宋_GB2312" w:hAnsi="仿宋_GB2312" w:eastAsia="仿宋_GB2312" w:cs="仿宋_GB2312"/>
          <w:kern w:val="0"/>
          <w:sz w:val="32"/>
          <w:szCs w:val="32"/>
          <w:u w:val="none"/>
        </w:rPr>
        <w:t>分。全年预算数为</w:t>
      </w:r>
      <w:r>
        <w:rPr>
          <w:rFonts w:hint="eastAsia" w:ascii="仿宋_GB2312" w:hAnsi="仿宋_GB2312" w:eastAsia="仿宋_GB2312" w:cs="仿宋_GB2312"/>
          <w:kern w:val="0"/>
          <w:sz w:val="32"/>
          <w:szCs w:val="32"/>
          <w:u w:val="none"/>
          <w:lang w:val="en-US" w:eastAsia="zh-CN"/>
        </w:rPr>
        <w:t>1870</w:t>
      </w:r>
      <w:r>
        <w:rPr>
          <w:rFonts w:hint="eastAsia" w:ascii="仿宋_GB2312" w:hAnsi="仿宋_GB2312" w:eastAsia="仿宋_GB2312" w:cs="仿宋_GB2312"/>
          <w:kern w:val="0"/>
          <w:sz w:val="32"/>
          <w:szCs w:val="32"/>
          <w:u w:val="none"/>
        </w:rPr>
        <w:t>万元，执行数为</w:t>
      </w:r>
      <w:r>
        <w:rPr>
          <w:rFonts w:hint="eastAsia" w:ascii="仿宋_GB2312" w:hAnsi="仿宋_GB2312" w:eastAsia="仿宋_GB2312" w:cs="仿宋_GB2312"/>
          <w:kern w:val="0"/>
          <w:sz w:val="32"/>
          <w:szCs w:val="32"/>
          <w:u w:val="none"/>
          <w:lang w:val="en-US" w:eastAsia="zh-CN"/>
        </w:rPr>
        <w:t>653.22</w:t>
      </w:r>
      <w:r>
        <w:rPr>
          <w:rFonts w:hint="eastAsia" w:ascii="仿宋_GB2312" w:hAnsi="仿宋_GB2312" w:eastAsia="仿宋_GB2312" w:cs="仿宋_GB2312"/>
          <w:kern w:val="0"/>
          <w:sz w:val="32"/>
          <w:szCs w:val="32"/>
          <w:u w:val="none"/>
        </w:rPr>
        <w:t>万元，完成预算的</w:t>
      </w:r>
      <w:r>
        <w:rPr>
          <w:rFonts w:hint="eastAsia" w:ascii="仿宋_GB2312" w:hAnsi="仿宋_GB2312" w:eastAsia="仿宋_GB2312" w:cs="仿宋_GB2312"/>
          <w:kern w:val="0"/>
          <w:sz w:val="32"/>
          <w:szCs w:val="32"/>
          <w:u w:val="none"/>
          <w:lang w:val="en-US" w:eastAsia="zh-CN"/>
        </w:rPr>
        <w:t>34.93</w:t>
      </w:r>
      <w:r>
        <w:rPr>
          <w:rFonts w:hint="eastAsia" w:ascii="仿宋_GB2312" w:hAnsi="仿宋_GB2312" w:eastAsia="仿宋_GB2312" w:cs="仿宋_GB2312"/>
          <w:kern w:val="0"/>
          <w:sz w:val="32"/>
          <w:szCs w:val="32"/>
          <w:u w:val="none"/>
        </w:rPr>
        <w:t>%。项目绩效目标完成情况：按照年初预算安排计划，2024年完成</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园区02-08地块土方平衡工程，完成</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经三路以西、中央生态大道上行线以东、纬十六路以北、纬十七路以南地块土方平衡工作</w:t>
      </w:r>
      <w:r>
        <w:rPr>
          <w:rFonts w:hint="eastAsia" w:ascii="仿宋_GB2312" w:hAnsi="仿宋_GB2312" w:eastAsia="仿宋_GB2312" w:cs="仿宋_GB2312"/>
          <w:kern w:val="0"/>
          <w:sz w:val="32"/>
          <w:szCs w:val="32"/>
          <w:u w:val="none"/>
          <w:lang w:val="en-US" w:eastAsia="zh-CN"/>
        </w:rPr>
        <w:t>和</w:t>
      </w:r>
      <w:r>
        <w:rPr>
          <w:rFonts w:hint="eastAsia" w:ascii="仿宋_GB2312" w:hAnsi="仿宋_GB2312" w:eastAsia="仿宋_GB2312" w:cs="仿宋_GB2312"/>
          <w:kern w:val="0"/>
          <w:sz w:val="32"/>
          <w:szCs w:val="32"/>
          <w:u w:val="none"/>
        </w:rPr>
        <w:t>园区02-02地块土方平衡测绘</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项目建设开工率、工程质量达标率、成本控制率等核心指标都达到预期比例，</w:t>
      </w:r>
      <w:r>
        <w:rPr>
          <w:rFonts w:hint="eastAsia" w:ascii="仿宋_GB2312" w:hAnsi="仿宋_GB2312" w:eastAsia="仿宋_GB2312" w:cs="仿宋_GB2312"/>
          <w:kern w:val="0"/>
          <w:sz w:val="32"/>
          <w:szCs w:val="32"/>
          <w:u w:val="none"/>
        </w:rPr>
        <w:t>优化</w:t>
      </w:r>
      <w:r>
        <w:rPr>
          <w:rFonts w:hint="eastAsia" w:ascii="仿宋_GB2312" w:hAnsi="仿宋_GB2312" w:eastAsia="仿宋_GB2312" w:cs="仿宋_GB2312"/>
          <w:kern w:val="0"/>
          <w:sz w:val="32"/>
          <w:szCs w:val="32"/>
          <w:u w:val="none"/>
          <w:lang w:val="en-US" w:eastAsia="zh-CN"/>
        </w:rPr>
        <w:t>了</w:t>
      </w:r>
      <w:r>
        <w:rPr>
          <w:rFonts w:hint="eastAsia" w:ascii="仿宋_GB2312" w:hAnsi="仿宋_GB2312" w:eastAsia="仿宋_GB2312" w:cs="仿宋_GB2312"/>
          <w:kern w:val="0"/>
          <w:sz w:val="32"/>
          <w:szCs w:val="32"/>
          <w:u w:val="none"/>
        </w:rPr>
        <w:t>生产生活环境和社会经济环境。发现的主要问题：</w:t>
      </w:r>
      <w:r>
        <w:rPr>
          <w:rFonts w:hint="eastAsia" w:ascii="仿宋_GB2312" w:hAnsi="仿宋_GB2312" w:eastAsia="仿宋_GB2312" w:cs="仿宋_GB2312"/>
          <w:kern w:val="0"/>
          <w:sz w:val="32"/>
          <w:szCs w:val="32"/>
          <w:u w:val="none"/>
          <w:lang w:val="en-US" w:eastAsia="zh-CN"/>
        </w:rPr>
        <w:t>绩效目标设立不够明确、细化和量化，资金使用效益有待进一步提高。原因：预算编制及自评</w:t>
      </w:r>
      <w:r>
        <w:rPr>
          <w:rFonts w:hint="default" w:ascii="仿宋_GB2312" w:hAnsi="仿宋_GB2312" w:eastAsia="仿宋_GB2312" w:cs="仿宋_GB2312"/>
          <w:kern w:val="0"/>
          <w:sz w:val="32"/>
          <w:szCs w:val="32"/>
          <w:u w:val="none"/>
          <w:lang w:val="en-US" w:eastAsia="zh-CN"/>
        </w:rPr>
        <w:t>经办人员相关的政策、业务</w:t>
      </w:r>
      <w:r>
        <w:rPr>
          <w:rFonts w:hint="eastAsia" w:ascii="仿宋_GB2312" w:hAnsi="仿宋_GB2312" w:eastAsia="仿宋_GB2312" w:cs="仿宋_GB2312"/>
          <w:kern w:val="0"/>
          <w:sz w:val="32"/>
          <w:szCs w:val="32"/>
          <w:u w:val="none"/>
          <w:lang w:val="en-US" w:eastAsia="zh-CN"/>
        </w:rPr>
        <w:t>专业性不强。</w:t>
      </w:r>
      <w:r>
        <w:rPr>
          <w:rFonts w:hint="eastAsia" w:ascii="仿宋_GB2312" w:hAnsi="仿宋_GB2312" w:eastAsia="仿宋_GB2312" w:cs="仿宋_GB2312"/>
          <w:kern w:val="0"/>
          <w:sz w:val="32"/>
          <w:szCs w:val="32"/>
          <w:u w:val="none"/>
        </w:rPr>
        <w:t>下一步改进措施：</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预算财务分析常态化，定期做好预算支出财务分析，做好部门整体支出预算评价工作。</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在确保项目高效运转的情况下，加强项目经费管理。</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加强单位预算编制工作，根据人员情况、业务开展需要，逐项做出预算计划，预算合理、不留缺口、不留空项。</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加强业务培训，提高评价水平，项目支出绩效自评工作是一项长期性工作，专业性强，工作量大，建议财政部门进一步加强开展部门领导及经办人员相关的政策、业务工作培训，组织开展部门之间、单位之间的经验交流，切实推进绩效评价工作的开展。  </w:t>
      </w:r>
    </w:p>
    <w:tbl>
      <w:tblPr>
        <w:tblStyle w:val="19"/>
        <w:tblW w:w="9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13"/>
        <w:gridCol w:w="793"/>
        <w:gridCol w:w="958"/>
        <w:gridCol w:w="929"/>
        <w:gridCol w:w="853"/>
        <w:gridCol w:w="659"/>
        <w:gridCol w:w="854"/>
        <w:gridCol w:w="766"/>
        <w:gridCol w:w="736"/>
        <w:gridCol w:w="793"/>
        <w:gridCol w:w="872"/>
        <w:gridCol w:w="8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099" w:hRule="atLeast"/>
        </w:trPr>
        <w:tc>
          <w:tcPr>
            <w:tcW w:w="970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项目支出绩效自评表</w:t>
            </w:r>
            <w:r>
              <w:rPr>
                <w:rFonts w:hint="eastAsia" w:ascii="宋体" w:hAnsi="宋体" w:eastAsia="宋体" w:cs="宋体"/>
                <w:b/>
                <w:i w:val="0"/>
                <w:color w:val="000000"/>
                <w:kern w:val="0"/>
                <w:sz w:val="40"/>
                <w:szCs w:val="40"/>
                <w:u w:val="none"/>
                <w:lang w:val="en-US" w:eastAsia="zh-CN" w:bidi="ar"/>
              </w:rPr>
              <w:br w:type="textWrapping"/>
            </w:r>
            <w:r>
              <w:rPr>
                <w:rFonts w:hint="eastAsia" w:ascii="宋体" w:hAnsi="宋体" w:eastAsia="宋体" w:cs="宋体"/>
                <w:b/>
                <w:i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4" w:hRule="atLeast"/>
        </w:trPr>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29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建设管理局-土方平衡工程等项目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30" w:hRule="atLeast"/>
        </w:trPr>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3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鄂尔多斯空港物流园区管理委员会（部门）</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27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鄂尔多斯空港物流园区管理委员会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2" w:hRule="atLeast"/>
        </w:trPr>
        <w:tc>
          <w:tcPr>
            <w:tcW w:w="14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（万元）</w:t>
            </w: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8" w:hRule="atLeast"/>
        </w:trPr>
        <w:tc>
          <w:tcPr>
            <w:tcW w:w="1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1870</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1870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653.22 </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34.93 </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5" w:hRule="atLeast"/>
        </w:trPr>
        <w:tc>
          <w:tcPr>
            <w:tcW w:w="1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1870</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1870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653.22</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34.93</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3" w:hRule="atLeast"/>
        </w:trPr>
        <w:tc>
          <w:tcPr>
            <w:tcW w:w="1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上年结转资金</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7" w:hRule="atLeast"/>
        </w:trPr>
        <w:tc>
          <w:tcPr>
            <w:tcW w:w="1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8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Arial" w:hAnsi="Arial" w:eastAsia="宋体" w:cs="Arial"/>
                <w:i w:val="0"/>
                <w:color w:val="222222"/>
                <w:sz w:val="19"/>
                <w:szCs w:val="19"/>
                <w:u w:val="none"/>
              </w:rPr>
            </w:pPr>
            <w:r>
              <w:rPr>
                <w:rFonts w:hint="default" w:ascii="Arial" w:hAnsi="Arial" w:eastAsia="宋体" w:cs="Arial"/>
                <w:i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34" w:hRule="atLeast"/>
        </w:trPr>
        <w:tc>
          <w:tcPr>
            <w:tcW w:w="140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25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04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068" w:hRule="atLeast"/>
        </w:trPr>
        <w:tc>
          <w:tcPr>
            <w:tcW w:w="140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25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2024年完成：1.园区02-08地块土方平衡工程，用于经三路以西、中央生态大道上行线以东、纬十六路以北、纬十七路以南地块土方平衡工作。2.园区02-02地块土方平衡测绘项目。3.产业发展项目土方平衡。 4.园区新建道路铁路项目前期工作 5.鄂尔多斯空港物流园区08-78地块市政道路建设项目。</w:t>
            </w:r>
          </w:p>
        </w:tc>
        <w:tc>
          <w:tcPr>
            <w:tcW w:w="404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2024年完成：1.园区02-08地块土方平衡工程，用于经三路以西、中央生态大道上行线以东、纬十六路以北、纬十七路以南地块土方平衡工作。2.园区02-02地块土方平衡测绘项目。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11" w:hRule="atLeast"/>
        </w:trPr>
        <w:tc>
          <w:tcPr>
            <w:tcW w:w="6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9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8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指标性质</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指标方向</w:t>
            </w:r>
          </w:p>
        </w:tc>
        <w:tc>
          <w:tcPr>
            <w:tcW w:w="8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年度指标值</w:t>
            </w:r>
          </w:p>
        </w:tc>
        <w:tc>
          <w:tcPr>
            <w:tcW w:w="7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计量单位</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8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57" w:hRule="atLeast"/>
        </w:trPr>
        <w:tc>
          <w:tcPr>
            <w:tcW w:w="61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绩效指标</w:t>
            </w:r>
          </w:p>
        </w:tc>
        <w:tc>
          <w:tcPr>
            <w:tcW w:w="79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5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重点项目数量</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95"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项目建设开工率</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73"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工程质量达标率</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8"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增量提质工程</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58"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重点项目完成及时率</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95.00</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81"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项目完成时间</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2024年12月</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2024年12月</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8"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项目成本</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小于等于</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1870</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653.22</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5"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成本控制率</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69"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优化生产生活环境和社会经济环境</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效果显著</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97"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有利于促进可持续发展</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有效增加</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有效增加</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36" w:hRule="atLeast"/>
        </w:trPr>
        <w:tc>
          <w:tcPr>
            <w:tcW w:w="613"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5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92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受益群众及企业满意度</w:t>
            </w:r>
          </w:p>
        </w:tc>
        <w:tc>
          <w:tcPr>
            <w:tcW w:w="85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w:t>
            </w:r>
          </w:p>
        </w:tc>
        <w:tc>
          <w:tcPr>
            <w:tcW w:w="659"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大于等于</w:t>
            </w:r>
          </w:p>
        </w:tc>
        <w:tc>
          <w:tcPr>
            <w:tcW w:w="85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7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90.00</w:t>
            </w:r>
          </w:p>
        </w:tc>
        <w:tc>
          <w:tcPr>
            <w:tcW w:w="73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9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7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74"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7" w:hRule="atLeast"/>
        </w:trPr>
        <w:tc>
          <w:tcPr>
            <w:tcW w:w="7161"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93.49</w:t>
            </w:r>
          </w:p>
        </w:tc>
        <w:tc>
          <w:tcPr>
            <w:tcW w:w="8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widowControl/>
        <w:spacing w:before="240" w:after="240"/>
        <w:jc w:val="left"/>
        <w:rPr>
          <w:rFonts w:hint="eastAsia" w:ascii="楷体_GB2312" w:hAnsi="楷体_GB2312" w:eastAsia="楷体_GB2312" w:cs="楷体_GB2312"/>
          <w:b w:val="0"/>
          <w:bCs w:val="0"/>
          <w:kern w:val="0"/>
          <w:sz w:val="32"/>
          <w:szCs w:val="32"/>
        </w:rPr>
      </w:pPr>
      <w:r>
        <w:rPr>
          <w:rFonts w:ascii="kai_ti_gb2312" w:hAnsi="kai_ti_gb2312" w:eastAsia="kai_ti_gb2312" w:cs="kai_ti_gb2312"/>
          <w:b/>
          <w:bCs/>
          <w:kern w:val="0"/>
          <w:sz w:val="27"/>
          <w:szCs w:val="27"/>
        </w:rPr>
        <w:t xml:space="preserve">    </w:t>
      </w:r>
      <w:r>
        <w:rPr>
          <w:rFonts w:hint="eastAsia" w:ascii="楷体_GB2312" w:hAnsi="楷体_GB2312" w:eastAsia="楷体_GB2312" w:cs="楷体_GB2312"/>
          <w:b w:val="0"/>
          <w:bCs w:val="0"/>
          <w:kern w:val="0"/>
          <w:sz w:val="32"/>
          <w:szCs w:val="32"/>
        </w:rPr>
        <w:t>（三）单位项目绩效评价结果。</w:t>
      </w:r>
    </w:p>
    <w:p>
      <w:pPr>
        <w:pStyle w:val="2"/>
        <w:pageBreakBefore w:val="0"/>
        <w:kinsoku/>
        <w:wordWrap/>
        <w:overflowPunct/>
        <w:topLinePunct w:val="0"/>
        <w:autoSpaceDE/>
        <w:autoSpaceDN/>
        <w:bidi w:val="0"/>
        <w:adjustRightInd/>
        <w:snapToGrid/>
        <w:spacing w:line="520" w:lineRule="exact"/>
        <w:rPr>
          <w:rFonts w:hint="eastAsia" w:ascii="仿宋_GB2312" w:hAnsi="仿宋_GB2312" w:eastAsia="仿宋_GB2312" w:cs="仿宋_GB2312"/>
          <w:sz w:val="32"/>
          <w:szCs w:val="32"/>
          <w:lang w:val="en-US" w:eastAsia="zh-CN"/>
        </w:rPr>
      </w:pPr>
      <w:r>
        <w:rPr>
          <w:rFonts w:ascii="fang_song_gb2312" w:hAnsi="fang_song_gb2312" w:eastAsia="fang_song_gb2312" w:cs="fang_song_gb2312"/>
          <w:kern w:val="0"/>
          <w:sz w:val="27"/>
          <w:szCs w:val="27"/>
        </w:rPr>
        <w:t xml:space="preserve">  </w:t>
      </w:r>
      <w:r>
        <w:rPr>
          <w:rFonts w:hint="eastAsia" w:ascii="fang_song_gb2312" w:hAnsi="fang_song_gb2312" w:eastAsia="宋体" w:cs="fang_song_gb2312"/>
          <w:kern w:val="0"/>
          <w:sz w:val="27"/>
          <w:szCs w:val="27"/>
          <w:lang w:val="en-US" w:eastAsia="zh-CN"/>
        </w:rPr>
        <w:t xml:space="preserve">   </w:t>
      </w:r>
      <w:r>
        <w:rPr>
          <w:rFonts w:ascii="fang_song_gb2312" w:hAnsi="fang_song_gb2312" w:eastAsia="fang_song_gb2312" w:cs="fang_song_gb2312"/>
          <w:kern w:val="0"/>
          <w:sz w:val="27"/>
          <w:szCs w:val="27"/>
        </w:rPr>
        <w:t> </w:t>
      </w:r>
      <w:r>
        <w:rPr>
          <w:rFonts w:hint="eastAsia" w:ascii="仿宋_GB2312" w:hAnsi="仿宋_GB2312" w:eastAsia="仿宋_GB2312" w:cs="仿宋_GB2312"/>
          <w:b w:val="0"/>
          <w:bCs w:val="0"/>
          <w:kern w:val="0"/>
          <w:sz w:val="32"/>
          <w:szCs w:val="32"/>
          <w:lang w:val="en-US" w:eastAsia="zh-CN" w:bidi="ar-SA"/>
        </w:rPr>
        <w:t>本单位本年没有重点绩效评价工作。</w:t>
      </w:r>
      <w:r>
        <w:rPr>
          <w:rFonts w:ascii="kai_ti_gb2312" w:hAnsi="kai_ti_gb2312" w:eastAsia="kai_ti_gb2312" w:cs="kai_ti_gb2312"/>
          <w:b/>
          <w:bCs/>
          <w:kern w:val="0"/>
          <w:sz w:val="27"/>
          <w:szCs w:val="27"/>
        </w:rPr>
        <w:t>   </w:t>
      </w:r>
      <w:r>
        <w:rPr>
          <w:rFonts w:hint="eastAsia" w:ascii="楷体_GB2312" w:hAnsi="楷体_GB2312" w:eastAsia="楷体_GB2312" w:cs="楷体_GB2312"/>
          <w:b w:val="0"/>
          <w:bCs w:val="0"/>
          <w:kern w:val="0"/>
          <w:sz w:val="32"/>
          <w:szCs w:val="32"/>
        </w:rPr>
        <w:t xml:space="preserve"> </w:t>
      </w:r>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第三部分  名词解释</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ascii="fang_song_gb2312" w:hAnsi="fang_song_gb2312" w:eastAsia="fang_song_gb2312" w:cs="fang_song_gb2312"/>
          <w:b/>
          <w:bCs/>
          <w:kern w:val="0"/>
          <w:sz w:val="27"/>
          <w:szCs w:val="27"/>
        </w:rPr>
        <w:t>   </w:t>
      </w:r>
      <w:r>
        <w:rPr>
          <w:rFonts w:hint="eastAsia" w:ascii="仿宋_GB2312" w:hAnsi="仿宋_GB2312" w:eastAsia="仿宋_GB2312" w:cs="仿宋_GB2312"/>
          <w:b/>
          <w:bCs/>
          <w:kern w:val="0"/>
          <w:sz w:val="32"/>
          <w:szCs w:val="32"/>
        </w:rPr>
        <w:t xml:space="preserve"> 一、财政拨款收入：</w:t>
      </w:r>
      <w:r>
        <w:rPr>
          <w:rFonts w:hint="eastAsia" w:ascii="仿宋_GB2312" w:hAnsi="仿宋_GB2312" w:eastAsia="仿宋_GB2312" w:cs="仿宋_GB2312"/>
          <w:kern w:val="0"/>
          <w:sz w:val="32"/>
          <w:szCs w:val="32"/>
        </w:rPr>
        <w:t>从同级财政部门取得的各类财政拨款，包括一般公共预算财政拨款、政府性基金预算财政拨款、国有资本经营预算财政拨款。</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    二、上级补助收入：</w:t>
      </w:r>
      <w:r>
        <w:rPr>
          <w:rFonts w:hint="eastAsia" w:ascii="仿宋_GB2312" w:hAnsi="仿宋_GB2312" w:eastAsia="仿宋_GB2312" w:cs="仿宋_GB2312"/>
          <w:kern w:val="0"/>
          <w:sz w:val="32"/>
          <w:szCs w:val="32"/>
        </w:rPr>
        <w:t>指事业单位从主管部门和上级单位取得的非财政补助收入。</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    三、财政专户管理教育收费：</w:t>
      </w:r>
      <w:r>
        <w:rPr>
          <w:rFonts w:hint="eastAsia" w:ascii="仿宋_GB2312" w:hAnsi="仿宋_GB2312" w:eastAsia="仿宋_GB2312" w:cs="仿宋_GB2312"/>
          <w:kern w:val="0"/>
          <w:sz w:val="32"/>
          <w:szCs w:val="32"/>
        </w:rPr>
        <w:t>指缴入财政专户、实行专项管理的高中以上学费、住宿费、高校委托培养费、函大、电大、夜大及短训班培训费等教育收费。</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    四、事业收入：</w:t>
      </w:r>
      <w:r>
        <w:rPr>
          <w:rFonts w:hint="eastAsia" w:ascii="仿宋_GB2312" w:hAnsi="仿宋_GB2312" w:eastAsia="仿宋_GB2312" w:cs="仿宋_GB2312"/>
          <w:kern w:val="0"/>
          <w:sz w:val="32"/>
          <w:szCs w:val="32"/>
        </w:rPr>
        <w:t>指事业单位开展专业业务活动及其辅助活动取得的收入。</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    五、经营收入：</w:t>
      </w:r>
      <w:r>
        <w:rPr>
          <w:rFonts w:hint="eastAsia" w:ascii="仿宋_GB2312" w:hAnsi="仿宋_GB2312" w:eastAsia="仿宋_GB2312" w:cs="仿宋_GB2312"/>
          <w:kern w:val="0"/>
          <w:sz w:val="32"/>
          <w:szCs w:val="32"/>
        </w:rPr>
        <w:t>指事业单位在专业业务活动及其辅助活动之外开展非独立核算经营活动取得的收入。</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    六、附属单位上缴收入：</w:t>
      </w:r>
      <w:r>
        <w:rPr>
          <w:rFonts w:hint="eastAsia" w:ascii="仿宋_GB2312" w:hAnsi="仿宋_GB2312" w:eastAsia="仿宋_GB2312" w:cs="仿宋_GB2312"/>
          <w:kern w:val="0"/>
          <w:sz w:val="32"/>
          <w:szCs w:val="32"/>
        </w:rPr>
        <w:t>指事业单位取得附属独立核算单位按照有关规定上缴的收入。</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    七、其他收入：</w:t>
      </w:r>
      <w:r>
        <w:rPr>
          <w:rFonts w:hint="eastAsia" w:ascii="仿宋_GB2312" w:hAnsi="仿宋_GB2312" w:eastAsia="仿宋_GB2312" w:cs="仿宋_GB2312"/>
          <w:kern w:val="0"/>
          <w:sz w:val="32"/>
          <w:szCs w:val="32"/>
        </w:rPr>
        <w:t>取得的除上述“财政拨款收入”、“上级补助收入”、“事业收入”、“经营收入”、“附属单位上缴收入”等以外的各项收入。</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    八、使用非财政拨款结余和专用结余：</w:t>
      </w:r>
      <w:r>
        <w:rPr>
          <w:rFonts w:hint="eastAsia" w:ascii="仿宋_GB2312" w:hAnsi="仿宋_GB2312" w:eastAsia="仿宋_GB2312" w:cs="仿宋_GB2312"/>
          <w:kern w:val="0"/>
          <w:sz w:val="32"/>
          <w:szCs w:val="32"/>
        </w:rPr>
        <w:t>指事业单位按照预算管理要求使用非财政拨款结余和专用结余弥补当年收支差额的数额。</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    九、年初结转和结余：</w:t>
      </w:r>
      <w:r>
        <w:rPr>
          <w:rFonts w:hint="eastAsia" w:ascii="仿宋_GB2312" w:hAnsi="仿宋_GB2312" w:eastAsia="仿宋_GB2312" w:cs="仿宋_GB2312"/>
          <w:kern w:val="0"/>
          <w:sz w:val="32"/>
          <w:szCs w:val="32"/>
        </w:rPr>
        <w:t>指单位上年结转本年使用的基本支出结转、项目支出结转和结余、经营结余。</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    十、结余分配：</w:t>
      </w:r>
      <w:r>
        <w:rPr>
          <w:rFonts w:hint="eastAsia" w:ascii="仿宋_GB2312" w:hAnsi="仿宋_GB2312" w:eastAsia="仿宋_GB2312" w:cs="仿宋_GB2312"/>
          <w:kern w:val="0"/>
          <w:sz w:val="32"/>
          <w:szCs w:val="32"/>
        </w:rPr>
        <w:t>指事业单位按规定缴纳企业所得税以及从非财政拨款结余或经营结余中提取各类结余的情况。</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    十一、年末结转和结余资金：</w:t>
      </w:r>
      <w:r>
        <w:rPr>
          <w:rFonts w:hint="eastAsia" w:ascii="仿宋_GB2312" w:hAnsi="仿宋_GB2312" w:eastAsia="仿宋_GB2312" w:cs="仿宋_GB2312"/>
          <w:kern w:val="0"/>
          <w:sz w:val="32"/>
          <w:szCs w:val="32"/>
        </w:rPr>
        <w:t>指单位结转下年的基本支出结转、项目支出结转和结余、经营结余。</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    十二、基本支出：</w:t>
      </w:r>
      <w:r>
        <w:rPr>
          <w:rFonts w:hint="eastAsia" w:ascii="仿宋_GB2312" w:hAnsi="仿宋_GB2312" w:eastAsia="仿宋_GB2312" w:cs="仿宋_GB2312"/>
          <w:kern w:val="0"/>
          <w:sz w:val="32"/>
          <w:szCs w:val="32"/>
        </w:rPr>
        <w:t>指为保障机构正常运转、完成日常工作任务所发生的支出，包括人员经费和公用经费。</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    十三、项目支出：</w:t>
      </w:r>
      <w:r>
        <w:rPr>
          <w:rFonts w:hint="eastAsia" w:ascii="仿宋_GB2312" w:hAnsi="仿宋_GB2312" w:eastAsia="仿宋_GB2312" w:cs="仿宋_GB2312"/>
          <w:kern w:val="0"/>
          <w:sz w:val="32"/>
          <w:szCs w:val="32"/>
        </w:rPr>
        <w:t>指在为完成特定的工作任务和事业发展目标所发生的支出。</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    十四、上缴上级支出：</w:t>
      </w:r>
      <w:r>
        <w:rPr>
          <w:rFonts w:hint="eastAsia" w:ascii="仿宋_GB2312" w:hAnsi="仿宋_GB2312" w:eastAsia="仿宋_GB2312" w:cs="仿宋_GB2312"/>
          <w:kern w:val="0"/>
          <w:sz w:val="32"/>
          <w:szCs w:val="32"/>
        </w:rPr>
        <w:t>指事业单位按照财政部门和主管部门的规定上缴上级单位的支出。</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    十五、经营支出：</w:t>
      </w:r>
      <w:r>
        <w:rPr>
          <w:rFonts w:hint="eastAsia" w:ascii="仿宋_GB2312" w:hAnsi="仿宋_GB2312" w:eastAsia="仿宋_GB2312" w:cs="仿宋_GB2312"/>
          <w:kern w:val="0"/>
          <w:sz w:val="32"/>
          <w:szCs w:val="32"/>
        </w:rPr>
        <w:t>指事业单位在专业业务活动及其辅助活动之外开展非独立核算经营活动发生的支出。</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    十六、对附属单位补助支出：</w:t>
      </w:r>
      <w:r>
        <w:rPr>
          <w:rFonts w:hint="eastAsia" w:ascii="仿宋_GB2312" w:hAnsi="仿宋_GB2312" w:eastAsia="仿宋_GB2312" w:cs="仿宋_GB2312"/>
          <w:kern w:val="0"/>
          <w:sz w:val="32"/>
          <w:szCs w:val="32"/>
        </w:rPr>
        <w:t>指事业单位用财政拨款收入之外的收入对附属单位补助发生的支出。</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    十七、“三公”经费：</w:t>
      </w:r>
      <w:r>
        <w:rPr>
          <w:rFonts w:hint="eastAsia" w:ascii="仿宋_GB2312" w:hAnsi="仿宋_GB2312" w:eastAsia="仿宋_GB2312" w:cs="仿宋_GB2312"/>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pPr>
        <w:pageBreakBefore w:val="0"/>
        <w:widowControl/>
        <w:kinsoku/>
        <w:wordWrap/>
        <w:overflowPunct/>
        <w:topLinePunct w:val="0"/>
        <w:autoSpaceDE/>
        <w:autoSpaceDN/>
        <w:bidi w:val="0"/>
        <w:adjustRightInd/>
        <w:snapToGrid/>
        <w:spacing w:before="240" w:after="240" w:line="520" w:lineRule="exact"/>
        <w:ind w:firstLine="481"/>
        <w:jc w:val="left"/>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十八、机构运行经费：</w:t>
      </w:r>
      <w:r>
        <w:rPr>
          <w:rFonts w:hint="eastAsia" w:ascii="仿宋_GB2312" w:hAnsi="仿宋_GB2312" w:eastAsia="仿宋_GB2312" w:cs="仿宋_GB2312"/>
          <w:kern w:val="0"/>
          <w:sz w:val="32"/>
          <w:szCs w:val="32"/>
        </w:rPr>
        <w:t>指部门（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第四部分 决算公开联系方式及信息反馈渠道</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u w:val="none"/>
        </w:rPr>
      </w:pPr>
      <w:r>
        <w:rPr>
          <w:rFonts w:ascii="fang_song_gb2312" w:hAnsi="fang_song_gb2312" w:eastAsia="fang_song_gb2312" w:cs="fang_song_gb2312"/>
          <w:kern w:val="0"/>
          <w:sz w:val="27"/>
          <w:szCs w:val="27"/>
        </w:rPr>
        <w:t>   </w:t>
      </w:r>
      <w:r>
        <w:rPr>
          <w:rFonts w:hint="eastAsia" w:ascii="仿宋_GB2312" w:hAnsi="仿宋_GB2312" w:eastAsia="仿宋_GB2312" w:cs="仿宋_GB2312"/>
          <w:kern w:val="0"/>
          <w:sz w:val="32"/>
          <w:szCs w:val="32"/>
          <w:u w:val="none"/>
        </w:rPr>
        <w:t xml:space="preserve"> 本单位决算公开信息反馈和联系方式：</w:t>
      </w:r>
    </w:p>
    <w:p>
      <w:pPr>
        <w:pageBreakBefore w:val="0"/>
        <w:widowControl/>
        <w:kinsoku/>
        <w:wordWrap/>
        <w:overflowPunct/>
        <w:topLinePunct w:val="0"/>
        <w:autoSpaceDE/>
        <w:autoSpaceDN/>
        <w:bidi w:val="0"/>
        <w:adjustRightInd/>
        <w:snapToGrid/>
        <w:spacing w:before="240" w:after="240" w:line="520" w:lineRule="exac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u w:val="none"/>
        </w:rPr>
        <w:t>    联系人：张宏斌           联系电话：</w:t>
      </w:r>
      <w:r>
        <w:rPr>
          <w:rFonts w:hint="eastAsia" w:ascii="仿宋_GB2312" w:hAnsi="仿宋_GB2312" w:eastAsia="仿宋_GB2312" w:cs="仿宋_GB2312"/>
          <w:kern w:val="0"/>
          <w:sz w:val="32"/>
          <w:szCs w:val="32"/>
          <w:u w:val="none"/>
          <w:lang w:val="en-US" w:eastAsia="zh-CN"/>
        </w:rPr>
        <w:t>18647700281</w:t>
      </w:r>
    </w:p>
    <w:p>
      <w:pPr>
        <w:pageBreakBefore w:val="0"/>
        <w:widowControl/>
        <w:kinsoku/>
        <w:wordWrap/>
        <w:overflowPunct/>
        <w:topLinePunct w:val="0"/>
        <w:autoSpaceDE/>
        <w:autoSpaceDN/>
        <w:bidi w:val="0"/>
        <w:adjustRightInd/>
        <w:snapToGrid/>
        <w:spacing w:before="240" w:after="240" w:line="520" w:lineRule="exact"/>
        <w:jc w:val="center"/>
        <w:rPr>
          <w:rFonts w:hint="eastAsia" w:ascii="方正小标宋简体" w:hAnsi="方正小标宋简体" w:eastAsia="方正小标宋简体" w:cs="方正小标宋简体"/>
          <w:b w:val="0"/>
          <w:bCs w:val="0"/>
          <w:kern w:val="0"/>
          <w:sz w:val="32"/>
          <w:szCs w:val="32"/>
        </w:rPr>
      </w:pPr>
      <w:r>
        <w:rPr>
          <w:rFonts w:hint="eastAsia" w:ascii="方正小标宋简体" w:hAnsi="方正小标宋简体" w:eastAsia="方正小标宋简体" w:cs="方正小标宋简体"/>
          <w:b w:val="0"/>
          <w:bCs w:val="0"/>
          <w:kern w:val="0"/>
          <w:sz w:val="44"/>
          <w:szCs w:val="44"/>
        </w:rPr>
        <w:t>第五部分 部门决算表</w:t>
      </w:r>
    </w:p>
    <w:bookmarkEnd w:id="0"/>
    <w:p>
      <w:pPr>
        <w:widowControl/>
        <w:spacing w:before="240" w:after="240"/>
        <w:jc w:val="left"/>
        <w:rPr>
          <w:rFonts w:hint="eastAsia"/>
          <w:b w:val="0"/>
          <w:bCs w:val="0"/>
          <w:lang w:val="en-US" w:eastAsia="zh-CN"/>
        </w:rPr>
      </w:pPr>
      <w:r>
        <w:rPr>
          <w:rFonts w:hint="eastAsia" w:ascii="仿宋_GB2312" w:hAnsi="仿宋_GB2312" w:eastAsia="仿宋_GB2312" w:cs="仿宋_GB2312"/>
          <w:b w:val="0"/>
          <w:bCs w:val="0"/>
          <w:kern w:val="0"/>
          <w:sz w:val="32"/>
          <w:szCs w:val="32"/>
          <w:lang w:val="en-US" w:eastAsia="zh-CN" w:bidi="ar-SA"/>
        </w:rPr>
        <w:t>详见附件</w:t>
      </w:r>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rPr>
      </w:pPr>
      <w:bookmarkStart w:id="1" w:name="_GoBack"/>
      <w:bookmarkEnd w:id="1"/>
    </w:p>
    <w:p>
      <w:pPr>
        <w:pStyle w:val="2"/>
        <w:keepNext w:val="0"/>
        <w:keepLines w:val="0"/>
        <w:pageBreakBefore w:val="0"/>
        <w:widowControl/>
        <w:kinsoku/>
        <w:wordWrap/>
        <w:overflowPunct/>
        <w:topLinePunct w:val="0"/>
        <w:autoSpaceDE/>
        <w:autoSpaceDN/>
        <w:bidi w:val="0"/>
        <w:adjustRightInd/>
        <w:snapToGrid/>
        <w:spacing w:before="299" w:after="299" w:line="520" w:lineRule="exact"/>
        <w:jc w:val="center"/>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rPr>
        <w:t>第</w:t>
      </w:r>
      <w:r>
        <w:rPr>
          <w:rFonts w:hint="eastAsia" w:ascii="方正小标宋简体" w:hAnsi="方正小标宋简体" w:eastAsia="方正小标宋简体" w:cs="方正小标宋简体"/>
          <w:b w:val="0"/>
          <w:bCs w:val="0"/>
          <w:kern w:val="0"/>
          <w:sz w:val="44"/>
          <w:szCs w:val="44"/>
          <w:lang w:val="en-US" w:eastAsia="zh-CN"/>
        </w:rPr>
        <w:t>六</w:t>
      </w:r>
      <w:r>
        <w:rPr>
          <w:rFonts w:hint="eastAsia" w:ascii="方正小标宋简体" w:hAnsi="方正小标宋简体" w:eastAsia="方正小标宋简体" w:cs="方正小标宋简体"/>
          <w:b w:val="0"/>
          <w:bCs w:val="0"/>
          <w:kern w:val="0"/>
          <w:sz w:val="44"/>
          <w:szCs w:val="44"/>
        </w:rPr>
        <w:t xml:space="preserve">部分 </w:t>
      </w:r>
      <w:r>
        <w:rPr>
          <w:rFonts w:hint="eastAsia" w:ascii="方正小标宋简体" w:hAnsi="方正小标宋简体" w:eastAsia="方正小标宋简体" w:cs="方正小标宋简体"/>
          <w:b w:val="0"/>
          <w:bCs w:val="0"/>
          <w:kern w:val="0"/>
          <w:sz w:val="44"/>
          <w:szCs w:val="44"/>
          <w:lang w:val="en-US" w:eastAsia="zh-CN"/>
        </w:rPr>
        <w:t>附件</w:t>
      </w:r>
    </w:p>
    <w:p>
      <w:pPr>
        <w:widowControl/>
        <w:spacing w:before="240" w:after="240"/>
        <w:jc w:val="left"/>
        <w:rPr>
          <w:rFonts w:hint="eastAsia"/>
          <w:b w:val="0"/>
          <w:bCs w:val="0"/>
          <w:lang w:val="en-US" w:eastAsia="zh-CN"/>
        </w:rPr>
      </w:pPr>
      <w:r>
        <w:rPr>
          <w:rFonts w:hint="eastAsia" w:ascii="仿宋_GB2312" w:hAnsi="仿宋_GB2312" w:eastAsia="仿宋_GB2312" w:cs="仿宋_GB2312"/>
          <w:b w:val="0"/>
          <w:bCs w:val="0"/>
          <w:kern w:val="0"/>
          <w:sz w:val="32"/>
          <w:szCs w:val="32"/>
          <w:lang w:val="en-US" w:eastAsia="zh-CN" w:bidi="ar-SA"/>
        </w:rPr>
        <w:t>详见附件</w:t>
      </w:r>
    </w:p>
    <w:p>
      <w:pPr>
        <w:rPr>
          <w:rFonts w:hint="default"/>
          <w:lang w:val="en-US" w:eastAsia="zh-CN"/>
        </w:rPr>
      </w:pPr>
      <w:r>
        <w:rPr>
          <w:rFonts w:hint="eastAsia" w:ascii="仿宋_GB2312" w:hAnsi="仿宋_GB2312" w:eastAsia="仿宋_GB2312" w:cs="仿宋_GB2312"/>
          <w:b w:val="0"/>
          <w:bCs w:val="0"/>
          <w:kern w:val="0"/>
          <w:sz w:val="32"/>
          <w:szCs w:val="32"/>
          <w:lang w:val="en-US" w:eastAsia="zh-CN" w:bidi="ar-SA"/>
        </w:rPr>
        <w:t>备注：按决算公开编制要求，决算公开报告及公开表的计数单位为万元，而2024年决算编制是以元为计数单位，因此小数点后第二位存在四舍五入的差异。</w:t>
      </w:r>
    </w:p>
    <w:p>
      <w:pPr>
        <w:pageBreakBefore w:val="0"/>
        <w:widowControl/>
        <w:kinsoku/>
        <w:wordWrap/>
        <w:overflowPunct/>
        <w:topLinePunct w:val="0"/>
        <w:autoSpaceDE/>
        <w:autoSpaceDN/>
        <w:bidi w:val="0"/>
        <w:adjustRightInd/>
        <w:snapToGrid/>
        <w:spacing w:before="240" w:after="240" w:line="520" w:lineRule="exact"/>
        <w:jc w:val="left"/>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fang_song_gb2312">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kai_ti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24</w:t>
    </w:r>
    <w:r>
      <w:rPr>
        <w:lang w:val="zh-CN"/>
      </w:rPr>
      <w:fldChar w:fldCharType="end"/>
    </w:r>
  </w:p>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5NzIwYjI4YWJmMTY5YWQ2MTY4MGE2N2MxYzhjYWMifQ=="/>
    <w:docVar w:name="KSO_WPS_MARK_KEY" w:val="af06e2fe-df5a-402c-88ba-0e15ef896477"/>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704F5"/>
    <w:rsid w:val="00D96390"/>
    <w:rsid w:val="00E219E7"/>
    <w:rsid w:val="00E60D6A"/>
    <w:rsid w:val="00E73321"/>
    <w:rsid w:val="00E77EC0"/>
    <w:rsid w:val="00E914C1"/>
    <w:rsid w:val="00E97C37"/>
    <w:rsid w:val="00EE533B"/>
    <w:rsid w:val="00F04882"/>
    <w:rsid w:val="00F63327"/>
    <w:rsid w:val="00F80A29"/>
    <w:rsid w:val="00FA7CA5"/>
    <w:rsid w:val="00FD08EC"/>
    <w:rsid w:val="00FD7690"/>
    <w:rsid w:val="02340563"/>
    <w:rsid w:val="02A61698"/>
    <w:rsid w:val="02DB36F2"/>
    <w:rsid w:val="034C66AF"/>
    <w:rsid w:val="03FC16BB"/>
    <w:rsid w:val="04B14935"/>
    <w:rsid w:val="05BB73FB"/>
    <w:rsid w:val="05E06C08"/>
    <w:rsid w:val="06667F8B"/>
    <w:rsid w:val="07A7388A"/>
    <w:rsid w:val="097E761F"/>
    <w:rsid w:val="0C001092"/>
    <w:rsid w:val="0CE476F1"/>
    <w:rsid w:val="0DDD0817"/>
    <w:rsid w:val="0EB31B9C"/>
    <w:rsid w:val="0F376ACC"/>
    <w:rsid w:val="10A81CEA"/>
    <w:rsid w:val="12214B43"/>
    <w:rsid w:val="138E1D1C"/>
    <w:rsid w:val="16421C2D"/>
    <w:rsid w:val="173F3A1D"/>
    <w:rsid w:val="188F522F"/>
    <w:rsid w:val="198B6403"/>
    <w:rsid w:val="1BF932A2"/>
    <w:rsid w:val="1C32329E"/>
    <w:rsid w:val="1FFE5633"/>
    <w:rsid w:val="2161302B"/>
    <w:rsid w:val="26A91472"/>
    <w:rsid w:val="26C657A3"/>
    <w:rsid w:val="28961FFB"/>
    <w:rsid w:val="2A4837CD"/>
    <w:rsid w:val="2AE1440C"/>
    <w:rsid w:val="2E234D85"/>
    <w:rsid w:val="2E5B7304"/>
    <w:rsid w:val="2FB36120"/>
    <w:rsid w:val="33735AF5"/>
    <w:rsid w:val="350C48A2"/>
    <w:rsid w:val="353F29A2"/>
    <w:rsid w:val="35DA30C7"/>
    <w:rsid w:val="36DA3A16"/>
    <w:rsid w:val="39851DDB"/>
    <w:rsid w:val="3AC003DF"/>
    <w:rsid w:val="3D2609C7"/>
    <w:rsid w:val="400B1B4B"/>
    <w:rsid w:val="422D2FEE"/>
    <w:rsid w:val="438B2199"/>
    <w:rsid w:val="46DA536A"/>
    <w:rsid w:val="485856F1"/>
    <w:rsid w:val="486645E4"/>
    <w:rsid w:val="48B45E03"/>
    <w:rsid w:val="49A60ABC"/>
    <w:rsid w:val="4A503AFB"/>
    <w:rsid w:val="4ABC7684"/>
    <w:rsid w:val="4B0D1ACF"/>
    <w:rsid w:val="4C0D4CF3"/>
    <w:rsid w:val="4CB36F34"/>
    <w:rsid w:val="4ED65A19"/>
    <w:rsid w:val="4F3C5683"/>
    <w:rsid w:val="5155129F"/>
    <w:rsid w:val="537A7121"/>
    <w:rsid w:val="57FD3481"/>
    <w:rsid w:val="58DA442C"/>
    <w:rsid w:val="5900774E"/>
    <w:rsid w:val="5FE11F66"/>
    <w:rsid w:val="632A4725"/>
    <w:rsid w:val="634D1951"/>
    <w:rsid w:val="643976AD"/>
    <w:rsid w:val="644E09F7"/>
    <w:rsid w:val="6AC35277"/>
    <w:rsid w:val="6AFF2677"/>
    <w:rsid w:val="6D66391C"/>
    <w:rsid w:val="6E083744"/>
    <w:rsid w:val="6EF7152A"/>
    <w:rsid w:val="6F987A9C"/>
    <w:rsid w:val="70537B9C"/>
    <w:rsid w:val="70650D03"/>
    <w:rsid w:val="7104036C"/>
    <w:rsid w:val="7428240E"/>
    <w:rsid w:val="74AF1D0A"/>
    <w:rsid w:val="76644168"/>
    <w:rsid w:val="78D10B0D"/>
    <w:rsid w:val="797D3241"/>
    <w:rsid w:val="7A6519F8"/>
    <w:rsid w:val="7F6933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8"/>
    <w:qFormat/>
    <w:uiPriority w:val="0"/>
    <w:pPr>
      <w:keepNext/>
      <w:keepLines/>
      <w:spacing w:before="260" w:after="260" w:line="416" w:lineRule="auto"/>
      <w:outlineLvl w:val="2"/>
    </w:pPr>
    <w:rPr>
      <w:b/>
      <w:bCs/>
      <w:sz w:val="32"/>
      <w:szCs w:val="32"/>
    </w:rPr>
  </w:style>
  <w:style w:type="paragraph" w:styleId="5">
    <w:name w:val="heading 4"/>
    <w:basedOn w:val="1"/>
    <w:next w:val="1"/>
    <w:link w:val="23"/>
    <w:qFormat/>
    <w:uiPriority w:val="0"/>
    <w:pPr>
      <w:keepNext/>
      <w:keepLines/>
      <w:spacing w:before="280" w:after="290" w:line="376" w:lineRule="auto"/>
      <w:outlineLvl w:val="3"/>
    </w:pPr>
    <w:rPr>
      <w:rFonts w:ascii="Cambria" w:hAnsi="Cambria"/>
      <w:b/>
      <w:bCs/>
      <w:sz w:val="28"/>
      <w:szCs w:val="28"/>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Layout w:type="fixed"/>
      <w:tblCellMar>
        <w:top w:w="0" w:type="dxa"/>
        <w:left w:w="108" w:type="dxa"/>
        <w:bottom w:w="0" w:type="dxa"/>
        <w:right w:w="108" w:type="dxa"/>
      </w:tblCellMar>
    </w:tblPr>
  </w:style>
  <w:style w:type="paragraph" w:styleId="6">
    <w:name w:val="toc 7"/>
    <w:basedOn w:val="1"/>
    <w:next w:val="1"/>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Body Text"/>
    <w:basedOn w:val="1"/>
    <w:unhideWhenUsed/>
    <w:qFormat/>
    <w:uiPriority w:val="1"/>
    <w:pPr>
      <w:spacing w:after="120"/>
    </w:pPr>
  </w:style>
  <w:style w:type="paragraph" w:styleId="9">
    <w:name w:val="toc 5"/>
    <w:basedOn w:val="1"/>
    <w:next w:val="1"/>
    <w:qFormat/>
    <w:uiPriority w:val="0"/>
    <w:pPr>
      <w:ind w:left="840"/>
      <w:jc w:val="left"/>
    </w:pPr>
    <w:rPr>
      <w:sz w:val="20"/>
      <w:szCs w:val="20"/>
    </w:rPr>
  </w:style>
  <w:style w:type="paragraph" w:styleId="10">
    <w:name w:val="toc 3"/>
    <w:basedOn w:val="1"/>
    <w:next w:val="1"/>
    <w:qFormat/>
    <w:uiPriority w:val="0"/>
    <w:pPr>
      <w:adjustRightInd w:val="0"/>
      <w:snapToGrid w:val="0"/>
      <w:spacing w:line="360" w:lineRule="auto"/>
      <w:ind w:firstLine="400" w:firstLineChars="400"/>
      <w:jc w:val="left"/>
    </w:pPr>
    <w:rPr>
      <w:sz w:val="24"/>
      <w:szCs w:val="20"/>
    </w:rPr>
  </w:style>
  <w:style w:type="paragraph" w:styleId="11">
    <w:name w:val="toc 8"/>
    <w:basedOn w:val="1"/>
    <w:next w:val="1"/>
    <w:qFormat/>
    <w:uiPriority w:val="0"/>
    <w:pPr>
      <w:ind w:left="1470"/>
      <w:jc w:val="left"/>
    </w:pPr>
    <w:rPr>
      <w:sz w:val="20"/>
      <w:szCs w:val="20"/>
    </w:rPr>
  </w:style>
  <w:style w:type="paragraph" w:styleId="12">
    <w:name w:val="footer"/>
    <w:basedOn w:val="1"/>
    <w:link w:val="26"/>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adjustRightInd w:val="0"/>
      <w:snapToGrid w:val="0"/>
      <w:spacing w:line="360" w:lineRule="auto"/>
      <w:jc w:val="left"/>
    </w:pPr>
    <w:rPr>
      <w:b/>
      <w:bCs/>
      <w:sz w:val="24"/>
      <w:szCs w:val="20"/>
    </w:rPr>
  </w:style>
  <w:style w:type="paragraph" w:styleId="15">
    <w:name w:val="toc 4"/>
    <w:basedOn w:val="1"/>
    <w:next w:val="1"/>
    <w:qFormat/>
    <w:uiPriority w:val="0"/>
    <w:pPr>
      <w:ind w:left="630"/>
      <w:jc w:val="left"/>
    </w:pPr>
    <w:rPr>
      <w:sz w:val="20"/>
      <w:szCs w:val="20"/>
    </w:rPr>
  </w:style>
  <w:style w:type="paragraph" w:styleId="16">
    <w:name w:val="toc 6"/>
    <w:basedOn w:val="1"/>
    <w:next w:val="1"/>
    <w:qFormat/>
    <w:uiPriority w:val="0"/>
    <w:pPr>
      <w:ind w:left="1050"/>
      <w:jc w:val="left"/>
    </w:pPr>
    <w:rPr>
      <w:sz w:val="20"/>
      <w:szCs w:val="20"/>
    </w:rPr>
  </w:style>
  <w:style w:type="paragraph" w:styleId="17">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8">
    <w:name w:val="toc 9"/>
    <w:basedOn w:val="1"/>
    <w:next w:val="1"/>
    <w:qFormat/>
    <w:uiPriority w:val="0"/>
    <w:pPr>
      <w:ind w:left="1680"/>
      <w:jc w:val="left"/>
    </w:pPr>
    <w:rPr>
      <w:sz w:val="20"/>
      <w:szCs w:val="20"/>
    </w:rPr>
  </w:style>
  <w:style w:type="character" w:styleId="21">
    <w:name w:val="page number"/>
    <w:basedOn w:val="20"/>
    <w:qFormat/>
    <w:uiPriority w:val="0"/>
  </w:style>
  <w:style w:type="character" w:styleId="22">
    <w:name w:val="Hyperlink"/>
    <w:basedOn w:val="20"/>
    <w:qFormat/>
    <w:uiPriority w:val="0"/>
    <w:rPr>
      <w:color w:val="0000FF"/>
      <w:u w:val="single"/>
    </w:rPr>
  </w:style>
  <w:style w:type="character" w:customStyle="1" w:styleId="23">
    <w:name w:val="标题 4 字符"/>
    <w:basedOn w:val="20"/>
    <w:link w:val="5"/>
    <w:qFormat/>
    <w:uiPriority w:val="0"/>
    <w:rPr>
      <w:rFonts w:ascii="Cambria" w:hAnsi="Cambria"/>
      <w:b/>
      <w:bCs/>
      <w:kern w:val="2"/>
      <w:sz w:val="28"/>
      <w:szCs w:val="28"/>
    </w:rPr>
  </w:style>
  <w:style w:type="paragraph" w:styleId="24">
    <w:name w:val="No Spacing"/>
    <w:link w:val="25"/>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5">
    <w:name w:val="无间隔 字符"/>
    <w:link w:val="24"/>
    <w:qFormat/>
    <w:locked/>
    <w:uiPriority w:val="0"/>
    <w:rPr>
      <w:rFonts w:eastAsia="仿宋_GB2312"/>
      <w:sz w:val="30"/>
      <w:szCs w:val="22"/>
      <w:lang w:bidi="ar-SA"/>
    </w:rPr>
  </w:style>
  <w:style w:type="character" w:customStyle="1" w:styleId="26">
    <w:name w:val="页脚 字符"/>
    <w:basedOn w:val="20"/>
    <w:link w:val="12"/>
    <w:qFormat/>
    <w:uiPriority w:val="0"/>
    <w:rPr>
      <w:kern w:val="2"/>
      <w:sz w:val="18"/>
      <w:szCs w:val="18"/>
    </w:rPr>
  </w:style>
  <w:style w:type="paragraph" w:styleId="27">
    <w:name w:val="List Paragraph"/>
    <w:basedOn w:val="1"/>
    <w:qFormat/>
    <w:uiPriority w:val="0"/>
    <w:pPr>
      <w:ind w:firstLine="420" w:firstLineChars="200"/>
    </w:pPr>
  </w:style>
  <w:style w:type="character" w:customStyle="1" w:styleId="28">
    <w:name w:val="标题 3 字符"/>
    <w:basedOn w:val="20"/>
    <w:link w:val="4"/>
    <w:qFormat/>
    <w:uiPriority w:val="0"/>
    <w:rPr>
      <w:b/>
      <w:bCs/>
      <w:kern w:val="2"/>
      <w:sz w:val="32"/>
      <w:szCs w:val="32"/>
    </w:rPr>
  </w:style>
  <w:style w:type="character" w:customStyle="1" w:styleId="29">
    <w:name w:val="font11"/>
    <w:basedOn w:val="20"/>
    <w:qFormat/>
    <w:uiPriority w:val="0"/>
    <w:rPr>
      <w:rFonts w:ascii="宋体" w:hAnsi="宋体" w:eastAsia="宋体" w:cs="宋体"/>
      <w:b/>
      <w:color w:val="000000"/>
      <w:sz w:val="24"/>
      <w:szCs w:val="24"/>
      <w:u w:val="none"/>
    </w:rPr>
  </w:style>
  <w:style w:type="character" w:customStyle="1" w:styleId="30">
    <w:name w:val="font91"/>
    <w:basedOn w:val="20"/>
    <w:qFormat/>
    <w:uiPriority w:val="0"/>
    <w:rPr>
      <w:rFonts w:ascii="宋体" w:hAnsi="宋体" w:eastAsia="宋体" w:cs="宋体"/>
      <w:color w:val="000000"/>
      <w:sz w:val="24"/>
      <w:szCs w:val="24"/>
      <w:u w:val="none"/>
    </w:rPr>
  </w:style>
  <w:style w:type="character" w:customStyle="1" w:styleId="31">
    <w:name w:val="font51"/>
    <w:basedOn w:val="20"/>
    <w:qFormat/>
    <w:uiPriority w:val="0"/>
    <w:rPr>
      <w:rFonts w:ascii="宋体" w:hAnsi="宋体" w:eastAsia="宋体" w:cs="宋体"/>
      <w:color w:val="000000"/>
      <w:sz w:val="18"/>
      <w:szCs w:val="18"/>
      <w:u w:val="none"/>
    </w:rPr>
  </w:style>
  <w:style w:type="character" w:customStyle="1" w:styleId="32">
    <w:name w:val="font21"/>
    <w:basedOn w:val="20"/>
    <w:qFormat/>
    <w:uiPriority w:val="0"/>
    <w:rPr>
      <w:rFonts w:hint="eastAsia" w:ascii="宋体" w:hAnsi="宋体" w:eastAsia="宋体" w:cs="宋体"/>
      <w:color w:val="000000"/>
      <w:sz w:val="22"/>
      <w:szCs w:val="22"/>
      <w:u w:val="none"/>
    </w:rPr>
  </w:style>
  <w:style w:type="character" w:customStyle="1" w:styleId="33">
    <w:name w:val="font31"/>
    <w:basedOn w:val="20"/>
    <w:qFormat/>
    <w:uiPriority w:val="0"/>
    <w:rPr>
      <w:rFonts w:hint="default" w:ascii="Arial" w:hAnsi="Arial" w:cs="Arial"/>
      <w:color w:val="000000"/>
      <w:sz w:val="22"/>
      <w:szCs w:val="22"/>
      <w:u w:val="none"/>
    </w:rPr>
  </w:style>
  <w:style w:type="character" w:customStyle="1" w:styleId="34">
    <w:name w:val="font01"/>
    <w:basedOn w:val="20"/>
    <w:qFormat/>
    <w:uiPriority w:val="0"/>
    <w:rPr>
      <w:rFonts w:ascii="宋体" w:hAnsi="宋体" w:eastAsia="宋体" w:cs="宋体"/>
      <w:color w:val="000000"/>
      <w:sz w:val="18"/>
      <w:szCs w:val="18"/>
      <w:u w:val="none"/>
    </w:rPr>
  </w:style>
  <w:style w:type="character" w:customStyle="1" w:styleId="35">
    <w:name w:val="font101"/>
    <w:basedOn w:val="20"/>
    <w:qFormat/>
    <w:uiPriority w:val="0"/>
    <w:rPr>
      <w:rFonts w:hint="eastAsia" w:ascii="宋体" w:hAnsi="宋体" w:eastAsia="宋体" w:cs="宋体"/>
      <w:color w:val="000000"/>
      <w:sz w:val="22"/>
      <w:szCs w:val="22"/>
      <w:u w:val="none"/>
    </w:rPr>
  </w:style>
  <w:style w:type="character" w:customStyle="1" w:styleId="36">
    <w:name w:val="font81"/>
    <w:basedOn w:val="20"/>
    <w:qFormat/>
    <w:uiPriority w:val="0"/>
    <w:rPr>
      <w:rFonts w:hint="default" w:ascii="Arial" w:hAnsi="Arial" w:cs="Arial"/>
      <w:color w:val="000000"/>
      <w:sz w:val="22"/>
      <w:szCs w:val="22"/>
      <w:u w:val="none"/>
    </w:rPr>
  </w:style>
  <w:style w:type="character" w:customStyle="1" w:styleId="37">
    <w:name w:val="font41"/>
    <w:basedOn w:val="20"/>
    <w:qFormat/>
    <w:uiPriority w:val="0"/>
    <w:rPr>
      <w:rFonts w:hint="eastAsia" w:ascii="宋体" w:hAnsi="宋体" w:eastAsia="宋体" w:cs="宋体"/>
      <w:color w:val="000000"/>
      <w:sz w:val="18"/>
      <w:szCs w:val="18"/>
      <w:u w:val="none"/>
    </w:rPr>
  </w:style>
  <w:style w:type="character" w:customStyle="1" w:styleId="38">
    <w:name w:val="font61"/>
    <w:basedOn w:val="20"/>
    <w:qFormat/>
    <w:uiPriority w:val="0"/>
    <w:rPr>
      <w:rFonts w:ascii="宋体" w:hAnsi="宋体" w:eastAsia="宋体" w:cs="宋体"/>
      <w:b/>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chart" Target="charts/chart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Desktop\&#24352;&#23439;&#25996;\&#20250;&#35745;\&#21382;&#24180;&#20915;&#31639;\2024&#24180;&#20915;&#31639;\&#20844;&#24320;\&#39292;&#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基本支出</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6.48</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15:layout>
                    <c:manualLayout>
                      <c:w val="0.132638888888889"/>
                      <c:h val="0.139351851851852"/>
                    </c:manualLayout>
                  </c15:layout>
                </c:ext>
              </c:extLst>
            </c:dLbl>
            <c:dLbl>
              <c:idx val="1"/>
              <c:layout>
                <c:manualLayout>
                  <c:x val="0.0757385019149641"/>
                  <c:y val="-0.293062573935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项目支出</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93.52</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78333333333333"/>
                      <c:h val="0.16712962962963"/>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[饼图.xlsx]Sheet2!$A$33:$A$34</c:f>
              <c:strCache>
                <c:ptCount val="2"/>
                <c:pt idx="0">
                  <c:v>基本支出</c:v>
                </c:pt>
                <c:pt idx="1">
                  <c:v>项目支出</c:v>
                </c:pt>
              </c:strCache>
            </c:strRef>
          </c:cat>
          <c:val>
            <c:numRef>
              <c:f>[饼图.xlsx]Sheet2!$B$33:$B$34</c:f>
              <c:numCache>
                <c:formatCode>0.00%</c:formatCode>
                <c:ptCount val="2"/>
                <c:pt idx="0">
                  <c:v>0.0648</c:v>
                </c:pt>
                <c:pt idx="1">
                  <c:v>0.9352</c:v>
                </c:pt>
              </c:numCache>
            </c:numRef>
          </c:val>
        </c:ser>
        <c:dLbls>
          <c:showLegendKey val="0"/>
          <c:showVal val="0"/>
          <c:showCatName val="1"/>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41</Pages>
  <Words>18246</Words>
  <Characters>20370</Characters>
  <Lines>1</Lines>
  <Paragraphs>1</Paragraphs>
  <TotalTime>0</TotalTime>
  <ScaleCrop>false</ScaleCrop>
  <LinksUpToDate>false</LinksUpToDate>
  <CharactersWithSpaces>21062</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张宏斌</cp:lastModifiedBy>
  <cp:lastPrinted>2021-04-16T00:45:00Z</cp:lastPrinted>
  <dcterms:modified xsi:type="dcterms:W3CDTF">2025-09-19T04:27:18Z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y fmtid="{D5CDD505-2E9C-101B-9397-08002B2CF9AE}" pid="3" name="ICV">
    <vt:lpwstr>A8AD814AE3614DD583361AD17A29E91C</vt:lpwstr>
  </property>
</Properties>
</file>