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keepNext/>
        <w:keepLines/>
        <w:tabs>
          <w:tab w:val="left" w:pos="6669"/>
        </w:tabs>
        <w:autoSpaceDE w:val="0"/>
        <w:autoSpaceDN w:val="0"/>
        <w:adjustRightInd w:val="0"/>
        <w:spacing w:beforeLines="0" w:afterLines="0"/>
        <w:ind w:left="198"/>
        <w:jc w:val="center"/>
        <w:rPr>
          <w:rFonts w:hint="eastAsia" w:ascii="方正小标宋简体" w:hAnsi="方正小标宋简体" w:eastAsia="方正小标宋简体" w:cs="Times New Roman"/>
          <w:color w:val="auto"/>
          <w:kern w:val="2"/>
          <w:sz w:val="44"/>
          <w:szCs w:val="22"/>
          <w:lang w:eastAsia="zh-CN"/>
        </w:rPr>
      </w:pPr>
      <w:r>
        <w:rPr>
          <w:rFonts w:hint="eastAsia" w:ascii="方正小标宋简体" w:hAnsi="方正小标宋简体" w:eastAsia="方正小标宋简体" w:cs="Times New Roman"/>
          <w:color w:val="auto"/>
          <w:kern w:val="2"/>
          <w:sz w:val="44"/>
          <w:szCs w:val="22"/>
        </w:rPr>
        <w:t>202</w:t>
      </w:r>
      <w:r>
        <w:rPr>
          <w:rFonts w:hint="eastAsia" w:ascii="方正小标宋简体" w:hAnsi="方正小标宋简体" w:eastAsia="方正小标宋简体" w:cs="Times New Roman"/>
          <w:color w:val="auto"/>
          <w:kern w:val="2"/>
          <w:sz w:val="44"/>
          <w:szCs w:val="22"/>
          <w:lang w:val="en-US" w:eastAsia="zh-CN"/>
        </w:rPr>
        <w:t>4</w:t>
      </w:r>
      <w:r>
        <w:rPr>
          <w:rFonts w:hint="eastAsia" w:ascii="方正小标宋简体" w:hAnsi="方正小标宋简体" w:eastAsia="方正小标宋简体" w:cs="Times New Roman"/>
          <w:color w:val="auto"/>
          <w:kern w:val="2"/>
          <w:sz w:val="44"/>
          <w:szCs w:val="22"/>
        </w:rPr>
        <w:t>年度内蒙古自治区鄂尔多斯空港物流园区企业发展服务中心公开</w:t>
      </w:r>
      <w:r>
        <w:rPr>
          <w:rFonts w:hint="eastAsia" w:ascii="方正小标宋简体" w:hAnsi="方正小标宋简体" w:eastAsia="方正小标宋简体" w:cs="Times New Roman"/>
          <w:color w:val="auto"/>
          <w:kern w:val="2"/>
          <w:sz w:val="44"/>
          <w:szCs w:val="22"/>
          <w:lang w:val="en-US" w:eastAsia="zh-CN"/>
        </w:rPr>
        <w:t>报告</w:t>
      </w: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ind w:firstLine="2240" w:firstLineChars="700"/>
        <w:jc w:val="left"/>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单位名称：内蒙古自治区鄂尔多斯空港物流园区企业</w:t>
      </w:r>
    </w:p>
    <w:p>
      <w:pPr>
        <w:spacing w:line="360" w:lineRule="auto"/>
        <w:ind w:firstLine="3840" w:firstLineChars="1200"/>
        <w:jc w:val="left"/>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发展服务中心</w:t>
      </w:r>
    </w:p>
    <w:p>
      <w:pPr>
        <w:spacing w:line="360" w:lineRule="auto"/>
        <w:ind w:firstLine="2240" w:firstLineChars="700"/>
        <w:jc w:val="left"/>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rPr>
        <w:t>单位负责人：</w:t>
      </w:r>
      <w:r>
        <w:rPr>
          <w:rFonts w:hint="eastAsia" w:ascii="仿宋_GB2312" w:hAnsi="仿宋_GB2312" w:eastAsia="仿宋_GB2312" w:cs="仿宋_GB2312"/>
          <w:color w:val="000000" w:themeColor="text1"/>
          <w:sz w:val="32"/>
          <w:szCs w:val="32"/>
          <w:lang w:val="en-US" w:eastAsia="zh-CN"/>
        </w:rPr>
        <w:t>杨继军</w:t>
      </w:r>
    </w:p>
    <w:p>
      <w:pPr>
        <w:spacing w:line="360" w:lineRule="auto"/>
        <w:ind w:firstLine="2240" w:firstLineChars="700"/>
        <w:jc w:val="left"/>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rPr>
        <w:t>财务负责人：</w:t>
      </w:r>
      <w:r>
        <w:rPr>
          <w:rFonts w:hint="eastAsia" w:ascii="仿宋_GB2312" w:hAnsi="仿宋_GB2312" w:eastAsia="仿宋_GB2312" w:cs="仿宋_GB2312"/>
          <w:color w:val="000000" w:themeColor="text1"/>
          <w:sz w:val="32"/>
          <w:szCs w:val="32"/>
          <w:lang w:val="en-US" w:eastAsia="zh-CN"/>
        </w:rPr>
        <w:t>杨继军</w:t>
      </w:r>
    </w:p>
    <w:p>
      <w:pPr>
        <w:spacing w:line="360" w:lineRule="auto"/>
        <w:ind w:firstLine="2240" w:firstLineChars="700"/>
        <w:jc w:val="left"/>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编制人：张宏斌</w:t>
      </w:r>
    </w:p>
    <w:p>
      <w:pPr>
        <w:spacing w:line="360" w:lineRule="auto"/>
        <w:ind w:firstLine="2240" w:firstLineChars="700"/>
        <w:jc w:val="left"/>
        <w:rPr>
          <w:rFonts w:hint="default" w:ascii="仿宋" w:hAnsi="仿宋" w:eastAsia="仿宋_GB2312"/>
          <w:b/>
          <w:sz w:val="32"/>
          <w:szCs w:val="32"/>
          <w:lang w:val="en-US" w:eastAsia="zh-CN"/>
        </w:rPr>
        <w:sectPr>
          <w:footerReference r:id="rId3" w:type="default"/>
          <w:pgSz w:w="11906" w:h="16838"/>
          <w:pgMar w:top="1440" w:right="1083" w:bottom="1440" w:left="1083" w:header="0" w:footer="720" w:gutter="0"/>
          <w:cols w:space="425" w:num="1"/>
          <w:docGrid w:type="lines" w:linePitch="312" w:charSpace="0"/>
        </w:sectPr>
      </w:pPr>
      <w:r>
        <w:rPr>
          <w:rFonts w:hint="eastAsia" w:ascii="仿宋_GB2312" w:hAnsi="仿宋_GB2312" w:eastAsia="仿宋_GB2312" w:cs="仿宋_GB2312"/>
          <w:color w:val="000000" w:themeColor="text1"/>
          <w:sz w:val="32"/>
          <w:szCs w:val="32"/>
        </w:rPr>
        <w:t>报送日期：202</w:t>
      </w:r>
      <w:r>
        <w:rPr>
          <w:rFonts w:hint="eastAsia" w:ascii="仿宋_GB2312" w:hAnsi="仿宋_GB2312" w:eastAsia="仿宋_GB2312" w:cs="仿宋_GB2312"/>
          <w:color w:val="000000" w:themeColor="text1"/>
          <w:sz w:val="32"/>
          <w:szCs w:val="32"/>
          <w:lang w:val="en-US" w:eastAsia="zh-CN"/>
        </w:rPr>
        <w:t>5</w:t>
      </w:r>
      <w:r>
        <w:rPr>
          <w:rFonts w:hint="eastAsia" w:ascii="仿宋_GB2312" w:hAnsi="仿宋_GB2312" w:eastAsia="仿宋_GB2312" w:cs="仿宋_GB2312"/>
          <w:color w:val="000000" w:themeColor="text1"/>
          <w:sz w:val="32"/>
          <w:szCs w:val="32"/>
        </w:rPr>
        <w:t>年</w:t>
      </w:r>
      <w:r>
        <w:rPr>
          <w:rFonts w:hint="eastAsia" w:ascii="仿宋_GB2312" w:hAnsi="仿宋_GB2312" w:eastAsia="仿宋_GB2312" w:cs="仿宋_GB2312"/>
          <w:color w:val="000000" w:themeColor="text1"/>
          <w:sz w:val="32"/>
          <w:szCs w:val="32"/>
          <w:lang w:val="en-US" w:eastAsia="zh-CN"/>
        </w:rPr>
        <w:t>9月</w:t>
      </w:r>
    </w:p>
    <w:p>
      <w:pPr>
        <w:widowControl/>
        <w:spacing w:after="240"/>
        <w:jc w:val="center"/>
        <w:rPr>
          <w:rFonts w:ascii="Times New Roman" w:hAnsi="Times New Roman" w:eastAsia="Times New Roman" w:cs="Times New Roman"/>
          <w:kern w:val="0"/>
          <w:sz w:val="24"/>
        </w:rPr>
      </w:pPr>
      <w:bookmarkStart w:id="0" w:name="a000"/>
      <w:r>
        <w:rPr>
          <w:rFonts w:hint="eastAsia" w:ascii="方正小标宋简体" w:hAnsi="方正小标宋简体" w:eastAsia="方正小标宋简体" w:cs="方正小标宋简体"/>
          <w:b w:val="0"/>
          <w:bCs w:val="0"/>
          <w:kern w:val="0"/>
          <w:sz w:val="44"/>
          <w:szCs w:val="44"/>
        </w:rPr>
        <w:t>目 录</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rPr>
        <w:t>第一部分 单位概况</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一、主要职能、职责</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二、单位机构设置及决算单位构成情况</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三、202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年度单位主要工作完成情况</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rPr>
        <w:t>第二部分 单位决算情况说明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一、收入支出决算总体情况说明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二、收入决算情况说明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四、财政拨款收入支出决算总体情况说明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五、一般公共预算财政拨款支出决算情况说明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六、一般公共预算财政拨款基本支出决算情况说明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七、一般公共预算财政拨款项目支出决算情况说明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八、财政拨款“三公”经费支出决算情况说明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九、政府性基金预算财政拨款支出决算情况说明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十、国有资本经营预算财政拨款支出决算情况说明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十一、机构运行经费支出决算情况说明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十二、政府采购支出决算情况说明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十三、国有资产占用情况说明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十四、预算绩效情况说明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rPr>
        <w:t>第三部分 名词解释</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rPr>
        <w:t>第四部分 决算公开联系方式及信息反馈渠道</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rPr>
        <w:t>第五部分 单位决算表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一、收入支出决算总表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二、收入决算表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三、支出决算表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四、财政拨款收入支出决算总表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五、一般公共预算财政拨款支出决算表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六、一般公共预算财政拨款基本支出决算明细表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七、一般公共预算财政拨款项目支出决算明细表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八、政府性基金预算财政拨款收入支出决算表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九、国有资本经营预算财政拨款支出决算表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十、财政拨款“三公”经费支出决算表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十一、机构运行经费支出、国有资产占用情况及政府采购支出信息表</w:t>
      </w:r>
    </w:p>
    <w:p>
      <w:pPr>
        <w:widowControl/>
        <w:spacing w:before="240" w:after="240"/>
        <w:rPr>
          <w:rFonts w:ascii="Times New Roman" w:hAnsi="Times New Roman" w:eastAsia="Times New Roman" w:cs="Times New Roman"/>
          <w:kern w:val="0"/>
          <w:sz w:val="24"/>
        </w:rPr>
      </w:pPr>
    </w:p>
    <w:p>
      <w:pPr>
        <w:pageBreakBefore w:val="0"/>
        <w:widowControl/>
        <w:kinsoku/>
        <w:wordWrap/>
        <w:overflowPunct/>
        <w:topLinePunct w:val="0"/>
        <w:autoSpaceDE/>
        <w:autoSpaceDN/>
        <w:bidi w:val="0"/>
        <w:adjustRightInd/>
        <w:snapToGrid/>
        <w:spacing w:before="240" w:after="240" w:line="520" w:lineRule="exact"/>
        <w:ind w:firstLine="440" w:firstLineChars="100"/>
        <w:jc w:val="center"/>
        <w:rPr>
          <w:rFonts w:hint="eastAsia" w:ascii="方正小标宋简体" w:hAnsi="方正小标宋简体" w:eastAsia="方正小标宋简体" w:cs="方正小标宋简体"/>
          <w:b w:val="0"/>
          <w:bCs w:val="0"/>
          <w:color w:val="000000"/>
          <w:kern w:val="0"/>
          <w:sz w:val="44"/>
          <w:szCs w:val="44"/>
        </w:rPr>
      </w:pPr>
      <w:r>
        <w:rPr>
          <w:rFonts w:hint="eastAsia" w:ascii="方正小标宋简体" w:hAnsi="方正小标宋简体" w:eastAsia="方正小标宋简体" w:cs="方正小标宋简体"/>
          <w:b w:val="0"/>
          <w:bCs w:val="0"/>
          <w:color w:val="000000"/>
          <w:kern w:val="0"/>
          <w:sz w:val="44"/>
          <w:szCs w:val="44"/>
        </w:rPr>
        <w:t>第一部分 单位概况</w:t>
      </w:r>
    </w:p>
    <w:p>
      <w:pPr>
        <w:widowControl/>
        <w:spacing w:before="240" w:after="240"/>
        <w:jc w:val="left"/>
        <w:rPr>
          <w:rFonts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黑体" w:hAnsi="黑体" w:eastAsia="黑体" w:cs="黑体"/>
          <w:b w:val="0"/>
          <w:bCs w:val="0"/>
          <w:kern w:val="0"/>
          <w:sz w:val="27"/>
          <w:szCs w:val="27"/>
        </w:rPr>
        <w:t> </w:t>
      </w:r>
      <w:r>
        <w:rPr>
          <w:rFonts w:ascii="黑体" w:hAnsi="黑体" w:eastAsia="黑体" w:cs="黑体"/>
          <w:b w:val="0"/>
          <w:bCs w:val="0"/>
          <w:kern w:val="0"/>
          <w:sz w:val="32"/>
          <w:szCs w:val="32"/>
        </w:rPr>
        <w:t xml:space="preserve"> 一、主要职能、职责</w:t>
      </w:r>
    </w:p>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一</w:t>
      </w:r>
      <w:r>
        <w:rPr>
          <w:rFonts w:hint="eastAsia" w:ascii="仿宋_GB2312" w:hAnsi="仿宋_GB2312" w:eastAsia="仿宋_GB2312" w:cs="仿宋_GB2312"/>
          <w:kern w:val="0"/>
          <w:sz w:val="32"/>
          <w:szCs w:val="32"/>
        </w:rPr>
        <w:t>）承担入区项目及入区企业各项手续的帮办协办、现场服务等工作。</w:t>
      </w:r>
    </w:p>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二</w:t>
      </w:r>
      <w:r>
        <w:rPr>
          <w:rFonts w:hint="eastAsia" w:ascii="仿宋_GB2312" w:hAnsi="仿宋_GB2312" w:eastAsia="仿宋_GB2312" w:cs="仿宋_GB2312"/>
          <w:kern w:val="0"/>
          <w:sz w:val="32"/>
          <w:szCs w:val="32"/>
        </w:rPr>
        <w:t>）承担入区项目和入区企业的跟踪管理和协调服务工作。</w:t>
      </w:r>
    </w:p>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三</w:t>
      </w:r>
      <w:r>
        <w:rPr>
          <w:rFonts w:hint="eastAsia" w:ascii="仿宋_GB2312" w:hAnsi="仿宋_GB2312" w:eastAsia="仿宋_GB2312" w:cs="仿宋_GB2312"/>
          <w:kern w:val="0"/>
          <w:sz w:val="32"/>
          <w:szCs w:val="32"/>
        </w:rPr>
        <w:t>）承担园区各类公共服务事项的集中受理办理工作。</w:t>
      </w:r>
    </w:p>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四</w:t>
      </w:r>
      <w:r>
        <w:rPr>
          <w:rFonts w:hint="eastAsia" w:ascii="仿宋_GB2312" w:hAnsi="仿宋_GB2312" w:eastAsia="仿宋_GB2312" w:cs="仿宋_GB2312"/>
          <w:kern w:val="0"/>
          <w:sz w:val="32"/>
          <w:szCs w:val="32"/>
        </w:rPr>
        <w:t>）承担园区企业服务大厅运行管理、综合协调和服务保障工作.</w:t>
      </w:r>
    </w:p>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五</w:t>
      </w:r>
      <w:r>
        <w:rPr>
          <w:rFonts w:hint="eastAsia" w:ascii="仿宋_GB2312" w:hAnsi="仿宋_GB2312" w:eastAsia="仿宋_GB2312" w:cs="仿宋_GB2312"/>
          <w:kern w:val="0"/>
          <w:sz w:val="32"/>
          <w:szCs w:val="32"/>
        </w:rPr>
        <w:t>）承担园区优化营商环境的统筹协调工作。</w:t>
      </w:r>
    </w:p>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六</w:t>
      </w:r>
      <w:r>
        <w:rPr>
          <w:rFonts w:hint="eastAsia" w:ascii="仿宋_GB2312" w:hAnsi="仿宋_GB2312" w:eastAsia="仿宋_GB2312" w:cs="仿宋_GB2312"/>
          <w:kern w:val="0"/>
          <w:sz w:val="32"/>
          <w:szCs w:val="32"/>
        </w:rPr>
        <w:t>）承担鄂尔多斯空港物流园区管理委员会交办的其他相关工作。</w:t>
      </w:r>
    </w:p>
    <w:p>
      <w:pPr>
        <w:widowControl/>
        <w:spacing w:before="240" w:after="240"/>
        <w:jc w:val="left"/>
        <w:rPr>
          <w:rFonts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val="0"/>
          <w:bCs w:val="0"/>
          <w:kern w:val="0"/>
          <w:sz w:val="32"/>
          <w:szCs w:val="32"/>
        </w:rPr>
        <w:t xml:space="preserve"> 二、单位机构设置及决算单位构成情况</w:t>
      </w:r>
    </w:p>
    <w:p>
      <w:pPr>
        <w:pageBreakBefore w:val="0"/>
        <w:widowControl/>
        <w:kinsoku/>
        <w:wordWrap/>
        <w:overflowPunct/>
        <w:topLinePunct w:val="0"/>
        <w:autoSpaceDE/>
        <w:autoSpaceDN/>
        <w:bidi w:val="0"/>
        <w:adjustRightInd/>
        <w:snapToGrid/>
        <w:spacing w:before="240" w:after="240" w:line="520" w:lineRule="exact"/>
        <w:ind w:firstLine="49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1.根据单位职责分工，本单位内设机构包括综合办公室、招商引资与企业服务办公室和营商环境建设办公室。本单位无下属单位。</w:t>
      </w:r>
    </w:p>
    <w:p>
      <w:pPr>
        <w:pageBreakBefore w:val="0"/>
        <w:widowControl/>
        <w:kinsoku/>
        <w:wordWrap/>
        <w:overflowPunct/>
        <w:topLinePunct w:val="0"/>
        <w:autoSpaceDE/>
        <w:autoSpaceDN/>
        <w:bidi w:val="0"/>
        <w:adjustRightInd/>
        <w:snapToGrid/>
        <w:spacing w:before="240" w:after="240" w:line="520" w:lineRule="exact"/>
        <w:ind w:firstLine="490"/>
        <w:rPr>
          <w:rFonts w:ascii="Times New Roman" w:hAnsi="Times New Roman" w:eastAsia="Times New Roman" w:cs="Times New Roman"/>
          <w:kern w:val="0"/>
          <w:sz w:val="24"/>
          <w:u w:val="none"/>
        </w:rPr>
      </w:pPr>
      <w:r>
        <w:rPr>
          <w:rFonts w:hint="eastAsia" w:ascii="仿宋_GB2312" w:hAnsi="仿宋_GB2312" w:eastAsia="仿宋_GB2312" w:cs="仿宋_GB2312"/>
          <w:kern w:val="0"/>
          <w:sz w:val="32"/>
          <w:szCs w:val="32"/>
          <w:lang w:val="en-US" w:eastAsia="zh-CN"/>
        </w:rPr>
        <w:t>2.从决算单位构成看，纳入本财政汇总决算编制范围的预算单位共计1家，具体包括：内蒙古自治区鄂尔多斯空港物流园区企业发展服务中心。详细情况见表：</w:t>
      </w:r>
    </w:p>
    <w:tbl>
      <w:tblPr>
        <w:tblStyle w:val="19"/>
        <w:tblW w:w="8780" w:type="dxa"/>
        <w:jc w:val="center"/>
        <w:tblInd w:w="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722"/>
        <w:gridCol w:w="4049"/>
        <w:gridCol w:w="4009"/>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Ex>
        <w:trPr>
          <w:trHeight w:val="587" w:hRule="atLeast"/>
          <w:tblHeader/>
          <w:jc w:val="center"/>
        </w:trPr>
        <w:tc>
          <w:tcPr>
            <w:tcW w:w="722" w:type="dxa"/>
            <w:tcBorders>
              <w:bottom w:val="inset" w:color="808080" w:sz="6" w:space="0"/>
              <w:right w:val="inset" w:color="808080" w:sz="6" w:space="0"/>
            </w:tcBorders>
            <w:noWrap w:val="0"/>
            <w:tcMar>
              <w:top w:w="22" w:type="dxa"/>
              <w:left w:w="22" w:type="dxa"/>
              <w:bottom w:w="22" w:type="dxa"/>
              <w:right w:w="22" w:type="dxa"/>
            </w:tcMar>
            <w:vAlign w:val="center"/>
          </w:tcPr>
          <w:p>
            <w:pPr>
              <w:pageBreakBefore w:val="0"/>
              <w:widowControl/>
              <w:kinsoku/>
              <w:wordWrap/>
              <w:overflowPunct/>
              <w:topLinePunct w:val="0"/>
              <w:autoSpaceDE/>
              <w:autoSpaceDN/>
              <w:bidi w:val="0"/>
              <w:adjustRightInd/>
              <w:snapToGrid/>
              <w:spacing w:before="240" w:after="240" w:line="520" w:lineRule="exact"/>
              <w:jc w:val="center"/>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序号</w:t>
            </w:r>
          </w:p>
        </w:tc>
        <w:tc>
          <w:tcPr>
            <w:tcW w:w="4049" w:type="dxa"/>
            <w:tcBorders>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pageBreakBefore w:val="0"/>
              <w:widowControl/>
              <w:kinsoku/>
              <w:wordWrap/>
              <w:overflowPunct/>
              <w:topLinePunct w:val="0"/>
              <w:autoSpaceDE/>
              <w:autoSpaceDN/>
              <w:bidi w:val="0"/>
              <w:adjustRightInd/>
              <w:snapToGrid/>
              <w:spacing w:before="240" w:after="240" w:line="520" w:lineRule="exact"/>
              <w:ind w:firstLine="490"/>
              <w:jc w:val="center"/>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单位名称</w:t>
            </w:r>
          </w:p>
        </w:tc>
        <w:tc>
          <w:tcPr>
            <w:tcW w:w="4009" w:type="dxa"/>
            <w:tcBorders>
              <w:left w:val="inset" w:color="808080" w:sz="6" w:space="0"/>
              <w:bottom w:val="inset" w:color="808080" w:sz="6" w:space="0"/>
            </w:tcBorders>
            <w:noWrap w:val="0"/>
            <w:tcMar>
              <w:top w:w="22" w:type="dxa"/>
              <w:left w:w="22" w:type="dxa"/>
              <w:bottom w:w="22" w:type="dxa"/>
              <w:right w:w="22" w:type="dxa"/>
            </w:tcMar>
            <w:vAlign w:val="center"/>
          </w:tcPr>
          <w:p>
            <w:pPr>
              <w:pageBreakBefore w:val="0"/>
              <w:widowControl/>
              <w:kinsoku/>
              <w:wordWrap/>
              <w:overflowPunct/>
              <w:topLinePunct w:val="0"/>
              <w:autoSpaceDE/>
              <w:autoSpaceDN/>
              <w:bidi w:val="0"/>
              <w:adjustRightInd/>
              <w:snapToGrid/>
              <w:spacing w:before="240" w:after="240" w:line="520" w:lineRule="exact"/>
              <w:ind w:firstLine="490"/>
              <w:jc w:val="center"/>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单位性质</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Ex>
        <w:trPr>
          <w:trHeight w:val="503" w:hRule="atLeast"/>
          <w:jc w:val="center"/>
        </w:trPr>
        <w:tc>
          <w:tcPr>
            <w:tcW w:w="722" w:type="dxa"/>
            <w:tcBorders>
              <w:top w:val="inset" w:color="808080" w:sz="6" w:space="0"/>
              <w:bottom w:val="inset" w:color="808080" w:sz="6" w:space="0"/>
              <w:right w:val="inset" w:color="808080" w:sz="6" w:space="0"/>
            </w:tcBorders>
            <w:noWrap w:val="0"/>
            <w:tcMar>
              <w:top w:w="22" w:type="dxa"/>
              <w:left w:w="22" w:type="dxa"/>
              <w:bottom w:w="22" w:type="dxa"/>
              <w:right w:w="22" w:type="dxa"/>
            </w:tcMar>
            <w:vAlign w:val="center"/>
          </w:tcPr>
          <w:p>
            <w:pPr>
              <w:pageBreakBefore w:val="0"/>
              <w:widowControl/>
              <w:kinsoku/>
              <w:wordWrap/>
              <w:overflowPunct/>
              <w:topLinePunct w:val="0"/>
              <w:autoSpaceDE/>
              <w:autoSpaceDN/>
              <w:bidi w:val="0"/>
              <w:adjustRightInd/>
              <w:snapToGrid/>
              <w:spacing w:before="240" w:after="240" w:line="520" w:lineRule="exact"/>
              <w:ind w:firstLine="49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w:t>
            </w:r>
          </w:p>
        </w:tc>
        <w:tc>
          <w:tcPr>
            <w:tcW w:w="4049"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pageBreakBefore w:val="0"/>
              <w:widowControl/>
              <w:kinsoku/>
              <w:wordWrap/>
              <w:overflowPunct/>
              <w:topLinePunct w:val="0"/>
              <w:autoSpaceDE/>
              <w:autoSpaceDN/>
              <w:bidi w:val="0"/>
              <w:adjustRightInd/>
              <w:snapToGrid/>
              <w:spacing w:before="240" w:after="240" w:line="520" w:lineRule="exac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内蒙古自治区鄂尔多斯空港物流园区企业发展服务中心</w:t>
            </w:r>
          </w:p>
        </w:tc>
        <w:tc>
          <w:tcPr>
            <w:tcW w:w="4009" w:type="dxa"/>
            <w:tcBorders>
              <w:top w:val="inset" w:color="808080" w:sz="6" w:space="0"/>
              <w:left w:val="inset" w:color="808080" w:sz="6" w:space="0"/>
              <w:bottom w:val="inset" w:color="808080" w:sz="6" w:space="0"/>
            </w:tcBorders>
            <w:noWrap w:val="0"/>
            <w:tcMar>
              <w:top w:w="22" w:type="dxa"/>
              <w:left w:w="22" w:type="dxa"/>
              <w:bottom w:w="22" w:type="dxa"/>
              <w:right w:w="22" w:type="dxa"/>
            </w:tcMar>
            <w:vAlign w:val="center"/>
          </w:tcPr>
          <w:p>
            <w:pPr>
              <w:pageBreakBefore w:val="0"/>
              <w:widowControl/>
              <w:kinsoku/>
              <w:wordWrap/>
              <w:overflowPunct/>
              <w:topLinePunct w:val="0"/>
              <w:autoSpaceDE/>
              <w:autoSpaceDN/>
              <w:bidi w:val="0"/>
              <w:adjustRightInd/>
              <w:snapToGrid/>
              <w:spacing w:before="240" w:after="240" w:line="520" w:lineRule="exact"/>
              <w:ind w:firstLine="49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公益一类事业单位</w:t>
            </w:r>
          </w:p>
        </w:tc>
      </w:tr>
    </w:tbl>
    <w:p>
      <w:pPr>
        <w:widowControl/>
        <w:spacing w:before="240" w:after="240"/>
        <w:jc w:val="left"/>
        <w:rPr>
          <w:rFonts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val="0"/>
          <w:bCs w:val="0"/>
          <w:kern w:val="0"/>
          <w:sz w:val="32"/>
          <w:szCs w:val="32"/>
        </w:rPr>
        <w:t xml:space="preserve"> 三、202</w:t>
      </w:r>
      <w:r>
        <w:rPr>
          <w:rFonts w:hint="eastAsia" w:ascii="黑体" w:hAnsi="黑体" w:eastAsia="黑体" w:cs="黑体"/>
          <w:b w:val="0"/>
          <w:bCs w:val="0"/>
          <w:kern w:val="0"/>
          <w:sz w:val="32"/>
          <w:szCs w:val="32"/>
          <w:lang w:val="en-US" w:eastAsia="zh-CN"/>
        </w:rPr>
        <w:t>4</w:t>
      </w:r>
      <w:r>
        <w:rPr>
          <w:rFonts w:ascii="黑体" w:hAnsi="黑体" w:eastAsia="黑体" w:cs="黑体"/>
          <w:b w:val="0"/>
          <w:bCs w:val="0"/>
          <w:kern w:val="0"/>
          <w:sz w:val="32"/>
          <w:szCs w:val="32"/>
        </w:rPr>
        <w:t>年度单位主要工作完成情况</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一）开展帮办代办服务。落实首问负责、一次性告知、一窗受理、限时办结等制度，统筹园区规划建设、自然资源、科技人才等部门和各产业链服务资源，有效提高了办事效率。落实专人帮办代办服务机制，明确2名帮办代办人员，根据企业需求，在前期手续办理、中期落地跟踪、后期运营管理等方面提供全流程服务，受理帮办代办事项219项，均已按时办结反馈。实施清单化服务，与市、旗两级政务服务中心有效衔接，建立了“帮您办”事项清单和帮代办工作台账，向企业发放“帮您办”清单200份，有效强化了跟踪服务，减少了企业跑腿次数。强化政策解答，通过现场解答、电话解答等途径，提供政策解答服务100余人次。</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二）助力企业纾困解难。持续开展“我为企业找订单”活动，重点围绕创新创业企业、链主企业以及新落地、新投产项目，利用园区微信公众号、市政务服务中心等线上平台，制作发布“找订单H5”，帮助企业拓市场、增订单、找销路，成功为2家企业签约订单2个，签约资金243万元。积极推进银企对接，着眼于解决小微企业融资难、融资贵问题，协助企业对接农商行、建设银行、工商银行等金融信贷机构8次。广泛链接互动平台，组织15家企业参加伊金霍洛旗2024“财政+金融”赋能高质量发展大会和2024年全国物流园区工作年会，为企业链接上下资源、融入市场环境提供了帮助。</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三）推动政务服务全面升级。按照园区党工委管委会关于政务服务增值化改革的决策部署，依托企业服务大厅，在涉企审批服务的基础上，围绕企业全生命周期、产业全链条服务等方面，新增项目、诉求、人才、科创、金融、法治、政策七类增值化服务事项，构建全链条、全过程的企业综合服务中心，推动政务服务向增值化、精准化转变，实现“一站式服务”。已完成前期调研和方案制定。</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四）抓好营商环境考评工作。按照园区管委会确定的“保三争一”目标，对照市经济合作服务中心各项考核任务完成时限、当前进度进行常态化梳理、调度，切实加大工作力度，一是做好每月营商环境信息、典型案例报送工作。充分发挥典型带动、示范引领作用，营造人人都是营商环境、事事关系营商环境的良好氛围。累计报送信息9篇，采纳7篇，在自治区平台营商环境优在内蒙古采纳1篇；二是做好每季度营商环境工作总结和大事记报送工作；三是做好每季度暖城暖企活动台账报送工作；四是做好每月营商环境调度平台填报工作，涉及园区的8条考核任务，年内已全部通过审核。</w:t>
      </w:r>
    </w:p>
    <w:p>
      <w:pPr>
        <w:pStyle w:val="4"/>
        <w:keepNext w:val="0"/>
        <w:keepLines w:val="0"/>
        <w:pageBreakBefore w:val="0"/>
        <w:widowControl/>
        <w:kinsoku/>
        <w:wordWrap/>
        <w:overflowPunct/>
        <w:topLinePunct w:val="0"/>
        <w:autoSpaceDE/>
        <w:autoSpaceDN/>
        <w:bidi w:val="0"/>
        <w:adjustRightInd/>
        <w:snapToGrid/>
        <w:spacing w:before="299" w:after="299" w:line="520" w:lineRule="exact"/>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第二部分  单位决算情况说明</w:t>
      </w:r>
    </w:p>
    <w:p>
      <w:pPr>
        <w:widowControl/>
        <w:spacing w:before="240" w:after="240"/>
        <w:jc w:val="left"/>
        <w:rPr>
          <w:rFonts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val="0"/>
          <w:bCs w:val="0"/>
          <w:kern w:val="0"/>
          <w:sz w:val="32"/>
          <w:szCs w:val="32"/>
        </w:rPr>
        <w:t xml:space="preserve"> 一、收入支出决算总体情况说明</w:t>
      </w:r>
    </w:p>
    <w:p>
      <w:pPr>
        <w:widowControl/>
        <w:spacing w:before="240" w:after="240"/>
        <w:ind w:firstLine="640" w:firstLineChars="200"/>
        <w:rPr>
          <w:rFonts w:ascii="Times New Roman" w:hAnsi="Times New Roman" w:eastAsia="Times New Roman" w:cs="Times New Roman"/>
          <w:kern w:val="0"/>
          <w:sz w:val="24"/>
        </w:rPr>
      </w:pPr>
      <w:r>
        <w:rPr>
          <w:rFonts w:hint="eastAsia" w:ascii="仿宋_GB2312" w:hAnsi="仿宋_GB2312" w:eastAsia="仿宋_GB2312" w:cs="仿宋_GB2312"/>
          <w:kern w:val="0"/>
          <w:sz w:val="32"/>
          <w:szCs w:val="32"/>
          <w:lang w:val="en-US" w:eastAsia="zh-CN"/>
        </w:rPr>
        <w:t>内蒙古自治区鄂尔多斯空港物流园区企业发展服务中心2024年度收入、支出决算总计均为 206.26万元。与年初预算相比，收、支总计各减少10.93万元，下降5.03%，变动原因：主要为企业服务大厅运营维护经费项目、优化营商环境经费项目预算指标未使用完毕；与上年决算相比，收、支总计各减少95.11万元，下降31.56%。其中：</w:t>
      </w:r>
    </w:p>
    <w:p>
      <w:pPr>
        <w:widowControl/>
        <w:spacing w:before="240" w:after="240"/>
        <w:jc w:val="left"/>
        <w:rPr>
          <w:rFonts w:ascii="Times New Roman" w:hAnsi="Times New Roman" w:eastAsia="Times New Roman" w:cs="Times New Roman"/>
          <w:kern w:val="0"/>
          <w:sz w:val="24"/>
          <w:u w:val="none"/>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u w:val="none"/>
        </w:rPr>
        <w:t>（一）收入决算总计 206.26万元。包括：</w:t>
      </w:r>
    </w:p>
    <w:p>
      <w:pPr>
        <w:widowControl/>
        <w:spacing w:before="240" w:after="240"/>
        <w:rPr>
          <w:rFonts w:hint="eastAsia" w:ascii="仿宋_GB2312" w:hAnsi="仿宋_GB2312" w:eastAsia="仿宋_GB2312" w:cs="仿宋_GB2312"/>
          <w:kern w:val="0"/>
          <w:sz w:val="32"/>
          <w:szCs w:val="32"/>
          <w:lang w:val="en-US" w:eastAsia="zh-CN"/>
        </w:rPr>
      </w:pPr>
      <w:r>
        <w:rPr>
          <w:rFonts w:ascii="fang_song_gb2312" w:hAnsi="fang_song_gb2312" w:eastAsia="fang_song_gb2312" w:cs="fang_song_gb2312"/>
          <w:kern w:val="0"/>
          <w:sz w:val="27"/>
          <w:szCs w:val="27"/>
          <w:u w:val="none"/>
        </w:rPr>
        <w:t xml:space="preserve">    </w:t>
      </w:r>
      <w:r>
        <w:rPr>
          <w:rFonts w:hint="eastAsia" w:ascii="fang_song_gb2312" w:hAnsi="fang_song_gb2312" w:eastAsia="宋体" w:cs="fang_song_gb2312"/>
          <w:kern w:val="0"/>
          <w:sz w:val="27"/>
          <w:szCs w:val="27"/>
          <w:u w:val="none"/>
          <w:lang w:val="en-US" w:eastAsia="zh-CN"/>
        </w:rPr>
        <w:t xml:space="preserve"> </w:t>
      </w:r>
      <w:r>
        <w:rPr>
          <w:rFonts w:hint="eastAsia" w:ascii="仿宋_GB2312" w:hAnsi="仿宋_GB2312" w:eastAsia="仿宋_GB2312" w:cs="仿宋_GB2312"/>
          <w:kern w:val="0"/>
          <w:sz w:val="32"/>
          <w:szCs w:val="32"/>
          <w:lang w:val="en-US" w:eastAsia="zh-CN"/>
        </w:rPr>
        <w:t xml:space="preserve"> 1.本年收入决算合计 206.18万元。与上年决算相比，减少92.38万元，下降30.94%，变动原因：本年度因部门工作安排变化比上年减少了2023年助企纾困贴息资金项目、内贸流通服务业发展专项资金（网络货运产业试点）项目、招商引资政策兑现经费项目资金预算收入。</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2.使用非财政拨款结余和专用结余 0.00万元。与上年决算相比，增加0.00万元，变动原因：不存在此项内容。</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3.年初结转和结余 0.08万元。与上年决算相比，减少2.73万元，下降97.18%，变动原因：之前年度结转党建经费和利息收入2023年进行支付导致2024年年初结转和结余减少 。</w:t>
      </w:r>
    </w:p>
    <w:p>
      <w:pPr>
        <w:widowControl/>
        <w:spacing w:before="240" w:after="240"/>
        <w:jc w:val="left"/>
        <w:rPr>
          <w:rFonts w:hint="eastAsia" w:ascii="楷体_GB2312" w:hAnsi="楷体_GB2312" w:eastAsia="楷体_GB2312" w:cs="楷体_GB2312"/>
          <w:b w:val="0"/>
          <w:bCs w:val="0"/>
          <w:kern w:val="0"/>
          <w:sz w:val="32"/>
          <w:szCs w:val="32"/>
          <w:u w:val="none"/>
        </w:rPr>
      </w:pPr>
      <w:r>
        <w:rPr>
          <w:rFonts w:ascii="kai_ti_gb2312" w:hAnsi="kai_ti_gb2312" w:eastAsia="kai_ti_gb2312" w:cs="kai_ti_gb2312"/>
          <w:b/>
          <w:bCs/>
          <w:kern w:val="0"/>
          <w:sz w:val="27"/>
          <w:szCs w:val="27"/>
        </w:rPr>
        <w:t>   </w:t>
      </w:r>
      <w:r>
        <w:rPr>
          <w:rFonts w:hint="eastAsia" w:ascii="楷体_GB2312" w:hAnsi="楷体_GB2312" w:eastAsia="楷体_GB2312" w:cs="楷体_GB2312"/>
          <w:b w:val="0"/>
          <w:bCs w:val="0"/>
          <w:kern w:val="0"/>
          <w:sz w:val="32"/>
          <w:szCs w:val="32"/>
          <w:u w:val="none"/>
        </w:rPr>
        <w:t>（二）支出决算总计 206.26万元。包括：</w:t>
      </w:r>
    </w:p>
    <w:p>
      <w:pPr>
        <w:widowControl/>
        <w:spacing w:before="240" w:after="240"/>
        <w:rPr>
          <w:rFonts w:hint="eastAsia" w:ascii="仿宋_GB2312" w:hAnsi="仿宋_GB2312" w:eastAsia="仿宋_GB2312" w:cs="仿宋_GB2312"/>
          <w:kern w:val="0"/>
          <w:sz w:val="32"/>
          <w:szCs w:val="32"/>
          <w:lang w:val="en-US" w:eastAsia="zh-CN"/>
        </w:rPr>
      </w:pPr>
      <w:r>
        <w:rPr>
          <w:rFonts w:ascii="fang_song_gb2312" w:hAnsi="fang_song_gb2312" w:eastAsia="fang_song_gb2312" w:cs="fang_song_gb2312"/>
          <w:kern w:val="0"/>
          <w:sz w:val="27"/>
          <w:szCs w:val="27"/>
          <w:u w:val="none"/>
        </w:rPr>
        <w:t xml:space="preserve">    </w:t>
      </w:r>
      <w:r>
        <w:rPr>
          <w:rFonts w:hint="eastAsia" w:ascii="fang_song_gb2312" w:hAnsi="fang_song_gb2312" w:eastAsia="宋体" w:cs="fang_song_gb2312"/>
          <w:kern w:val="0"/>
          <w:sz w:val="27"/>
          <w:szCs w:val="27"/>
          <w:u w:val="none"/>
          <w:lang w:val="en-US" w:eastAsia="zh-CN"/>
        </w:rPr>
        <w:t xml:space="preserve"> </w:t>
      </w:r>
      <w:r>
        <w:rPr>
          <w:rFonts w:hint="eastAsia" w:ascii="仿宋_GB2312" w:hAnsi="仿宋_GB2312" w:eastAsia="仿宋_GB2312" w:cs="仿宋_GB2312"/>
          <w:kern w:val="0"/>
          <w:sz w:val="32"/>
          <w:szCs w:val="32"/>
          <w:lang w:val="en-US" w:eastAsia="zh-CN"/>
        </w:rPr>
        <w:t>1.本年支出决算合计 206.26万元。与上年决算相比，减少94.65万元，下降31.46%，变动原因：本年度因部门工作安排变化比上年减少了2023年助企纾困贴息资金项目、内贸流通服务业发展专项资金（网络货运产业试点）项目、招商引资政策兑现经费项目资金预算支出。</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2.结余分配 0.00万元。结余分配事项：无。与上年决算相比，增加 0.00万元，变动原因：不存在此项内容。</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3.年末结转和结余 0万元。结转和结余事项：无。与上年决算相比，减少0.45万元，下降100.00%，变动原因：之前年度结转党建经费和今年利息收入统一进行退库处理导致年末无结转和结余。</w:t>
      </w:r>
    </w:p>
    <w:p>
      <w:pPr>
        <w:widowControl/>
        <w:spacing w:before="240" w:after="240"/>
        <w:jc w:val="left"/>
        <w:rPr>
          <w:rFonts w:hint="eastAsia"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黑体" w:hAnsi="黑体" w:eastAsia="黑体" w:cs="黑体"/>
          <w:b w:val="0"/>
          <w:bCs w:val="0"/>
          <w:kern w:val="0"/>
          <w:sz w:val="32"/>
          <w:szCs w:val="32"/>
        </w:rPr>
        <w:t xml:space="preserve"> </w:t>
      </w:r>
    </w:p>
    <w:p>
      <w:pPr>
        <w:widowControl/>
        <w:spacing w:before="240" w:after="240"/>
        <w:jc w:val="left"/>
        <w:rPr>
          <w:rFonts w:hint="eastAsia" w:ascii="黑体" w:hAnsi="黑体" w:eastAsia="黑体" w:cs="黑体"/>
          <w:b w:val="0"/>
          <w:bCs w:val="0"/>
          <w:kern w:val="0"/>
          <w:sz w:val="32"/>
          <w:szCs w:val="32"/>
        </w:rPr>
      </w:pPr>
    </w:p>
    <w:p>
      <w:pPr>
        <w:widowControl/>
        <w:spacing w:before="240" w:after="240"/>
        <w:ind w:firstLine="320" w:firstLineChars="100"/>
        <w:jc w:val="left"/>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二、收入决算情况说明</w:t>
      </w:r>
    </w:p>
    <w:p>
      <w:pPr>
        <w:widowControl/>
        <w:spacing w:before="240" w:after="240"/>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内蒙古自治区鄂尔多斯空港物流园区企业发展服务中心 2024年度本年收入决算合计 206.18万元，其中：</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本年一般公共预算财政拨款收入 206.18万元，占 100.00%；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本年政府性基金预算财政拨款收入 0万元，占 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本年国有资本经营预算财政拨款收入 0万元，占 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本年上级补助收入 0万元，占 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本年事业收入 0万元，占 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本年经营收入 0万元，占 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本年附属单位上缴收入 0万元，占 0%；</w:t>
      </w:r>
    </w:p>
    <w:p>
      <w:pPr>
        <w:widowControl/>
        <w:spacing w:before="240" w:after="240"/>
        <w:ind w:firstLine="497"/>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本年其他收入 0万元，占 0%。</w:t>
      </w:r>
    </w:p>
    <w:p>
      <w:pPr>
        <w:widowControl/>
        <w:spacing w:before="240" w:after="240"/>
        <w:ind w:firstLine="497"/>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xml:space="preserve">    </w:t>
      </w:r>
      <w:r>
        <w:rPr>
          <w:rFonts w:ascii="Times New Roman" w:hAnsi="Times New Roman" w:eastAsia="Times New Roman" w:cs="Times New Roman"/>
          <w:strike w:val="0"/>
          <w:kern w:val="0"/>
          <w:sz w:val="24"/>
          <w:u w:val="none"/>
        </w:rPr>
        <w:drawing>
          <wp:inline distT="0" distB="0" distL="114300" distR="114300">
            <wp:extent cx="6238875" cy="3584575"/>
            <wp:effectExtent l="0" t="0" r="9525" b="158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6238875" cy="3584575"/>
                    </a:xfrm>
                    <a:prstGeom prst="rect">
                      <a:avLst/>
                    </a:prstGeom>
                    <a:noFill/>
                    <a:ln>
                      <a:noFill/>
                    </a:ln>
                  </pic:spPr>
                </pic:pic>
              </a:graphicData>
            </a:graphic>
          </wp:inline>
        </w:drawing>
      </w:r>
    </w:p>
    <w:p>
      <w:pPr>
        <w:widowControl/>
        <w:spacing w:before="240" w:after="240"/>
        <w:ind w:firstLine="3840" w:firstLineChars="1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图1.收入决算图</w:t>
      </w:r>
    </w:p>
    <w:p>
      <w:pPr>
        <w:widowControl/>
        <w:spacing w:before="240" w:after="240"/>
        <w:jc w:val="left"/>
        <w:rPr>
          <w:rFonts w:hint="eastAsia"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黑体" w:hAnsi="黑体" w:eastAsia="黑体" w:cs="黑体"/>
          <w:b w:val="0"/>
          <w:bCs w:val="0"/>
          <w:kern w:val="0"/>
          <w:sz w:val="32"/>
          <w:szCs w:val="32"/>
        </w:rPr>
        <w:t xml:space="preserve"> 三、支出决算情况说明</w:t>
      </w:r>
    </w:p>
    <w:p>
      <w:pPr>
        <w:widowControl/>
        <w:spacing w:before="240" w:after="24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xml:space="preserve"> 内蒙古自治区鄂尔多斯空港物流园区企业发展服务中心 2024年度本年支出决算合计 206.26万元，其中：</w:t>
      </w:r>
    </w:p>
    <w:p>
      <w:pPr>
        <w:widowControl/>
        <w:spacing w:before="240" w:after="24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本年基本支出 199.83万元，占 96.88%；</w:t>
      </w:r>
    </w:p>
    <w:p>
      <w:pPr>
        <w:widowControl/>
        <w:spacing w:before="240" w:after="24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本年项目支出 6.43万元，占 3.12%；</w:t>
      </w:r>
    </w:p>
    <w:p>
      <w:pPr>
        <w:widowControl/>
        <w:spacing w:before="240" w:after="24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本年上缴上级支出 0万元，占 0%；</w:t>
      </w:r>
    </w:p>
    <w:p>
      <w:pPr>
        <w:widowControl/>
        <w:spacing w:before="240" w:after="24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本年经营支出 0万元，占 0%；</w:t>
      </w:r>
    </w:p>
    <w:p>
      <w:pPr>
        <w:widowControl/>
        <w:spacing w:before="240" w:after="240"/>
        <w:ind w:firstLine="497"/>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本年对附属单位补助支出 0万元，占 0%。</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xml:space="preserve">    </w:t>
      </w:r>
      <w:r>
        <w:drawing>
          <wp:inline distT="0" distB="0" distL="114300" distR="114300">
            <wp:extent cx="5741035" cy="3174365"/>
            <wp:effectExtent l="4445" t="4445" r="7620" b="2159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ageBreakBefore w:val="0"/>
        <w:widowControl/>
        <w:kinsoku/>
        <w:wordWrap/>
        <w:overflowPunct/>
        <w:topLinePunct w:val="0"/>
        <w:autoSpaceDE/>
        <w:autoSpaceDN/>
        <w:bidi w:val="0"/>
        <w:adjustRightInd/>
        <w:snapToGrid/>
        <w:spacing w:before="240" w:after="240" w:line="520" w:lineRule="exact"/>
        <w:ind w:firstLine="3840" w:firstLineChars="1200"/>
        <w:rPr>
          <w:rFonts w:ascii="Calibri" w:hAnsi="Calibri" w:eastAsia="Calibri" w:cs="Calibri"/>
          <w:b/>
          <w:bCs/>
          <w:kern w:val="0"/>
          <w:sz w:val="27"/>
          <w:szCs w:val="27"/>
        </w:rPr>
      </w:pPr>
      <w:r>
        <w:rPr>
          <w:rFonts w:hint="eastAsia" w:ascii="仿宋_GB2312" w:hAnsi="仿宋_GB2312" w:eastAsia="仿宋_GB2312" w:cs="仿宋_GB2312"/>
          <w:kern w:val="0"/>
          <w:sz w:val="32"/>
          <w:szCs w:val="32"/>
          <w:u w:val="none"/>
        </w:rPr>
        <w:t>图2.支出决算图</w:t>
      </w:r>
    </w:p>
    <w:p>
      <w:pPr>
        <w:widowControl/>
        <w:spacing w:before="240" w:after="240"/>
        <w:jc w:val="left"/>
        <w:rPr>
          <w:rFonts w:ascii="黑体" w:hAnsi="黑体" w:eastAsia="黑体" w:cs="黑体"/>
          <w:b w:val="0"/>
          <w:bCs w:val="0"/>
          <w:kern w:val="0"/>
          <w:sz w:val="32"/>
          <w:szCs w:val="32"/>
        </w:rPr>
      </w:pPr>
      <w:r>
        <w:rPr>
          <w:rFonts w:ascii="黑体" w:hAnsi="黑体" w:eastAsia="黑体" w:cs="黑体"/>
          <w:b w:val="0"/>
          <w:bCs w:val="0"/>
          <w:kern w:val="0"/>
          <w:sz w:val="32"/>
          <w:szCs w:val="32"/>
        </w:rPr>
        <w:t xml:space="preserve"> 四、财政拨款收入支出决算总体情况说明</w:t>
      </w:r>
    </w:p>
    <w:p>
      <w:pPr>
        <w:widowControl/>
        <w:spacing w:before="240" w:after="240"/>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u w:val="none"/>
        </w:rPr>
        <w:t>内蒙古自治区鄂尔多斯空港物流园区企业发展服务中心 2024年度财政拨款收入、支出决算总计均为 206.26万元，与年初预算相比，收、支总计各减少10.93万元，下降5.03%，变动原因：</w:t>
      </w:r>
      <w:r>
        <w:rPr>
          <w:rFonts w:hint="eastAsia" w:ascii="仿宋_GB2312" w:hAnsi="仿宋_GB2312" w:eastAsia="仿宋_GB2312" w:cs="仿宋_GB2312"/>
          <w:kern w:val="0"/>
          <w:sz w:val="32"/>
          <w:szCs w:val="32"/>
          <w:lang w:val="en-US" w:eastAsia="zh-CN"/>
        </w:rPr>
        <w:t>主要为企业服务大厅运营维护经费项目、优化营商环境经费项目预算指标未使用完毕</w:t>
      </w:r>
      <w:r>
        <w:rPr>
          <w:rFonts w:hint="eastAsia" w:ascii="仿宋_GB2312" w:hAnsi="仿宋_GB2312" w:eastAsia="仿宋_GB2312" w:cs="仿宋_GB2312"/>
          <w:kern w:val="0"/>
          <w:sz w:val="32"/>
          <w:szCs w:val="32"/>
          <w:u w:val="none"/>
        </w:rPr>
        <w:t>；与上年决算相比，收、支总计各减少93.83万元，下降31.27%，变动原因：</w:t>
      </w:r>
      <w:r>
        <w:rPr>
          <w:rFonts w:hint="eastAsia" w:ascii="仿宋_GB2312" w:hAnsi="仿宋_GB2312" w:eastAsia="仿宋_GB2312" w:cs="仿宋_GB2312"/>
          <w:kern w:val="0"/>
          <w:sz w:val="32"/>
          <w:szCs w:val="32"/>
          <w:lang w:val="en-US" w:eastAsia="zh-CN"/>
        </w:rPr>
        <w:t>本年度因部门工作安排变化比上年减少了2023年助企纾困贴息资金项目、内贸流通服务业发展专项资金（网络货运产业试点）项目、招商引资政策兑现经费项目资金预算收入、支出。</w:t>
      </w:r>
    </w:p>
    <w:p>
      <w:pPr>
        <w:widowControl/>
        <w:spacing w:before="240" w:after="240"/>
        <w:ind w:firstLine="540" w:firstLineChars="200"/>
        <w:jc w:val="left"/>
        <w:rPr>
          <w:rFonts w:ascii="黑体" w:hAnsi="黑体" w:eastAsia="黑体" w:cs="黑体"/>
          <w:b/>
          <w:bCs/>
          <w:kern w:val="0"/>
          <w:sz w:val="27"/>
          <w:szCs w:val="27"/>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p>
    <w:p>
      <w:pPr>
        <w:widowControl/>
        <w:spacing w:before="240" w:after="240"/>
        <w:jc w:val="left"/>
        <w:rPr>
          <w:rFonts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黑体" w:hAnsi="黑体" w:eastAsia="黑体" w:cs="黑体"/>
          <w:b w:val="0"/>
          <w:bCs w:val="0"/>
          <w:kern w:val="0"/>
          <w:sz w:val="32"/>
          <w:szCs w:val="32"/>
        </w:rPr>
        <w:t>五、一般公共预算财政拨款支出决算情况说明</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内蒙古自治区鄂尔多斯空港物流园区企业发展服务中心 2024年度一般公共预算财政拨款支出决算 206.26万元。与年初预算 217.19万元相比，完成年初预算的 94.97%。其中：</w:t>
      </w:r>
    </w:p>
    <w:p>
      <w:pPr>
        <w:widowControl/>
        <w:spacing w:before="240" w:after="240"/>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（一）一般公共服务（类）</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一般公共服务（类）决算数为 159.21万元，与年初预算相比减少12.07万元。其中：</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商贸事务（款）行政运行（项）。年初预算</w:t>
      </w:r>
      <w:r>
        <w:rPr>
          <w:rFonts w:hint="eastAsia" w:ascii="仿宋_GB2312" w:hAnsi="仿宋_GB2312" w:eastAsia="仿宋_GB2312" w:cs="仿宋_GB2312"/>
          <w:kern w:val="0"/>
          <w:sz w:val="32"/>
          <w:szCs w:val="32"/>
          <w:u w:val="none"/>
          <w:lang w:val="en-US" w:eastAsia="zh-CN"/>
        </w:rPr>
        <w:t>171.27</w:t>
      </w:r>
      <w:r>
        <w:rPr>
          <w:rFonts w:hint="eastAsia" w:ascii="仿宋_GB2312" w:hAnsi="仿宋_GB2312" w:eastAsia="仿宋_GB2312" w:cs="仿宋_GB2312"/>
          <w:kern w:val="0"/>
          <w:sz w:val="32"/>
          <w:szCs w:val="32"/>
          <w:u w:val="none"/>
        </w:rPr>
        <w:t>万元，支出决算159.21万元，完成年初预算的</w:t>
      </w:r>
      <w:r>
        <w:rPr>
          <w:rFonts w:hint="eastAsia" w:ascii="仿宋_GB2312" w:hAnsi="仿宋_GB2312" w:eastAsia="仿宋_GB2312" w:cs="仿宋_GB2312"/>
          <w:kern w:val="0"/>
          <w:sz w:val="32"/>
          <w:szCs w:val="32"/>
          <w:u w:val="none"/>
          <w:lang w:val="en-US" w:eastAsia="zh-CN"/>
        </w:rPr>
        <w:t>92.96</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根据单位相关工作开展进度情况，企业服务大厅运营维护经费、优化营商环境经费项目预算指标未使用完毕</w:t>
      </w:r>
      <w:r>
        <w:rPr>
          <w:rFonts w:hint="eastAsia" w:ascii="仿宋_GB2312" w:hAnsi="仿宋_GB2312" w:eastAsia="仿宋_GB2312" w:cs="仿宋_GB2312"/>
          <w:kern w:val="0"/>
          <w:sz w:val="32"/>
          <w:szCs w:val="32"/>
          <w:u w:val="none"/>
        </w:rPr>
        <w:t>。</w:t>
      </w:r>
    </w:p>
    <w:p>
      <w:pPr>
        <w:widowControl/>
        <w:spacing w:before="240" w:after="240"/>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（二）社会保障和就业支出（类）</w:t>
      </w:r>
    </w:p>
    <w:p>
      <w:pPr>
        <w:widowControl/>
        <w:spacing w:before="240" w:after="240"/>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 xml:space="preserve"> 社会保障和就业支出（类）决算数为 19.83万元，与年初预算相比减少0.71万元。其中：</w:t>
      </w:r>
    </w:p>
    <w:p>
      <w:pPr>
        <w:widowControl/>
        <w:spacing w:before="240" w:after="240"/>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1．行政事业单位养老支出（款）机关事业单位基本养老保险缴费支出（项）。年初预算17.32万元，支出决算17.65万元，完成年初预算的101.91%。决算数与年初预算数的差异原因：根据单位工作开展进度情况需要，新增社保补贴预算项目中养老保险缴费指标预算。</w:t>
      </w:r>
    </w:p>
    <w:p>
      <w:pPr>
        <w:widowControl/>
        <w:spacing w:before="240" w:after="240"/>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2．其他社会保障和就业支出（款）其他社会保障和就业支出（项）。年初预算3.22万元，支出决算2.18万元，完成年初预算的67.7%。决算数与年初预算数的差异原因：根据单位工作开展进度情况，社保补贴预算项目中工伤保险缴费指标未使用完毕。</w:t>
      </w:r>
    </w:p>
    <w:p>
      <w:pPr>
        <w:widowControl/>
        <w:spacing w:before="240" w:after="240"/>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（三）卫生健康支出（类）</w:t>
      </w:r>
    </w:p>
    <w:p>
      <w:pPr>
        <w:widowControl/>
        <w:spacing w:before="240" w:after="240"/>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卫生健康支出（类）决算数为 9.35万元，与年初预算相比增加 0.02万元。其中：</w:t>
      </w:r>
    </w:p>
    <w:p>
      <w:pPr>
        <w:widowControl/>
        <w:spacing w:before="240" w:after="240"/>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1．行政事业单位医疗（款）事业单位医疗（项）。年初预算6.96万元，支出决算6.96万元，完成年初预算的100%。决算数与年初预算数无差异。</w:t>
      </w:r>
    </w:p>
    <w:p>
      <w:pPr>
        <w:widowControl/>
        <w:spacing w:before="240" w:after="240"/>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2．行政事业单位医疗（款）公务员医疗补助（项）。年初预算2.37万元，支出决算2.39万元，完成年初预算的100.84%。决算数与年初预算数的差异原因：根据单位工作开展进度需要，新增社保补贴预算项目中公务员医补保险缴费预算指标。</w:t>
      </w:r>
    </w:p>
    <w:p>
      <w:pPr>
        <w:widowControl/>
        <w:spacing w:before="240" w:after="240"/>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w:t>
      </w:r>
      <w:r>
        <w:rPr>
          <w:rFonts w:hint="eastAsia" w:ascii="楷体_GB2312" w:hAnsi="楷体_GB2312" w:eastAsia="楷体_GB2312" w:cs="楷体_GB2312"/>
          <w:b w:val="0"/>
          <w:bCs w:val="0"/>
          <w:kern w:val="0"/>
          <w:sz w:val="32"/>
          <w:szCs w:val="32"/>
          <w:lang w:val="en-US" w:eastAsia="zh-CN"/>
        </w:rPr>
        <w:t>四</w:t>
      </w:r>
      <w:r>
        <w:rPr>
          <w:rFonts w:hint="eastAsia" w:ascii="楷体_GB2312" w:hAnsi="楷体_GB2312" w:eastAsia="楷体_GB2312" w:cs="楷体_GB2312"/>
          <w:b w:val="0"/>
          <w:bCs w:val="0"/>
          <w:kern w:val="0"/>
          <w:sz w:val="32"/>
          <w:szCs w:val="32"/>
        </w:rPr>
        <w:t>）住房保障支出（类）</w:t>
      </w:r>
    </w:p>
    <w:p>
      <w:pPr>
        <w:widowControl/>
        <w:spacing w:before="240" w:after="240"/>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住房保障支出（类）决算数为 17.88万元，与年初预算相比增加 1.83万元。其中：</w:t>
      </w:r>
    </w:p>
    <w:p>
      <w:pPr>
        <w:widowControl/>
        <w:spacing w:before="240" w:after="240"/>
        <w:ind w:firstLine="640" w:firstLineChars="200"/>
        <w:rPr>
          <w:rFonts w:ascii="Times New Roman" w:hAnsi="Times New Roman" w:eastAsia="Times New Roman" w:cs="Times New Roman"/>
          <w:kern w:val="0"/>
          <w:sz w:val="24"/>
          <w:u w:val="none"/>
        </w:rPr>
      </w:pPr>
      <w:r>
        <w:rPr>
          <w:rFonts w:hint="eastAsia" w:ascii="仿宋_GB2312" w:hAnsi="仿宋_GB2312" w:eastAsia="仿宋_GB2312" w:cs="仿宋_GB2312"/>
          <w:kern w:val="0"/>
          <w:sz w:val="32"/>
          <w:szCs w:val="32"/>
          <w:u w:val="none"/>
          <w:lang w:val="en-US" w:eastAsia="zh-CN"/>
        </w:rPr>
        <w:t>住房改革支出（款）住房公积金（项）。年初预算16.05万元，支出决算 17.88万元，完成年初预算的111.4%。决算数与年初预算数的差异原因：根据单位工作开展进度需要，新增公积金预算项目预算指标。</w:t>
      </w:r>
    </w:p>
    <w:p>
      <w:pPr>
        <w:widowControl/>
        <w:spacing w:before="240" w:after="240"/>
        <w:jc w:val="left"/>
        <w:rPr>
          <w:rFonts w:hint="eastAsia" w:ascii="黑体" w:hAnsi="黑体" w:eastAsia="黑体" w:cs="黑体"/>
          <w:b/>
          <w:bCs/>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hint="eastAsia" w:ascii="黑体" w:hAnsi="黑体" w:eastAsia="黑体" w:cs="黑体"/>
          <w:b/>
          <w:bCs/>
          <w:kern w:val="0"/>
          <w:sz w:val="32"/>
          <w:szCs w:val="32"/>
        </w:rPr>
        <w:t>六、一般公共预算财政拨款基本支出决算情况说明</w:t>
      </w:r>
    </w:p>
    <w:p>
      <w:pPr>
        <w:widowControl/>
        <w:spacing w:before="240" w:after="240"/>
        <w:ind w:firstLine="640" w:firstLineChars="200"/>
        <w:rPr>
          <w:rFonts w:ascii="Times New Roman" w:hAnsi="Times New Roman" w:eastAsia="Times New Roman" w:cs="Times New Roman"/>
          <w:kern w:val="0"/>
          <w:sz w:val="24"/>
          <w:u w:val="none"/>
        </w:rPr>
      </w:pPr>
      <w:r>
        <w:rPr>
          <w:rFonts w:hint="eastAsia" w:ascii="仿宋_GB2312" w:hAnsi="仿宋_GB2312" w:eastAsia="仿宋_GB2312" w:cs="仿宋_GB2312"/>
          <w:kern w:val="0"/>
          <w:sz w:val="32"/>
          <w:szCs w:val="32"/>
          <w:u w:val="none"/>
          <w:lang w:val="en-US" w:eastAsia="zh-CN"/>
        </w:rPr>
        <w:t>内蒙古自治区鄂尔多斯空港物流园区企业发展服务中心2024年度一般公共预算财政拨款基本支出决算 199.83万元，其中：</w:t>
      </w:r>
    </w:p>
    <w:p>
      <w:pPr>
        <w:widowControl/>
        <w:spacing w:before="240" w:after="240"/>
        <w:rPr>
          <w:rFonts w:ascii="Times New Roman" w:hAnsi="Times New Roman" w:eastAsia="Times New Roman" w:cs="Times New Roman"/>
          <w:kern w:val="0"/>
          <w:sz w:val="24"/>
          <w:u w:val="none"/>
        </w:rPr>
      </w:pPr>
      <w:r>
        <w:rPr>
          <w:rFonts w:ascii="fang_song_gb2312" w:hAnsi="fang_song_gb2312" w:eastAsia="fang_song_gb2312" w:cs="fang_song_gb2312"/>
          <w:b/>
          <w:bCs/>
          <w:kern w:val="0"/>
          <w:sz w:val="27"/>
          <w:szCs w:val="27"/>
          <w:u w:val="none"/>
        </w:rPr>
        <w:t xml:space="preserve">    </w:t>
      </w:r>
      <w:r>
        <w:rPr>
          <w:rFonts w:hint="eastAsia" w:ascii="楷体_GB2312" w:hAnsi="楷体_GB2312" w:eastAsia="楷体_GB2312" w:cs="楷体_GB2312"/>
          <w:b w:val="0"/>
          <w:bCs w:val="0"/>
          <w:kern w:val="0"/>
          <w:sz w:val="32"/>
          <w:szCs w:val="32"/>
          <w:u w:val="none"/>
        </w:rPr>
        <w:t>（一）人员经费 192.24万元。</w:t>
      </w:r>
      <w:r>
        <w:rPr>
          <w:rFonts w:hint="eastAsia" w:ascii="仿宋_GB2312" w:hAnsi="仿宋_GB2312" w:eastAsia="仿宋_GB2312" w:cs="仿宋_GB2312"/>
          <w:kern w:val="0"/>
          <w:sz w:val="32"/>
          <w:szCs w:val="32"/>
          <w:u w:val="none"/>
          <w:lang w:val="en-US" w:eastAsia="zh-CN"/>
        </w:rPr>
        <w:t>主要包括：基本工资48.34万元、津贴补贴43.28万元、奖金3.84万元、绩效工资48.85万元、机关事业单位基本养老保险缴费17.65万元、职业年金缴费0.88万元 、职工基本医疗保险缴费6.96万元、公务员医疗补助缴费2.39万元、其他社会保障缴费2.18万元、住房公积金17.88万元。</w:t>
      </w:r>
    </w:p>
    <w:p>
      <w:pPr>
        <w:widowControl/>
        <w:spacing w:before="240" w:after="240"/>
        <w:rPr>
          <w:rFonts w:hint="eastAsia" w:ascii="仿宋_GB2312" w:hAnsi="仿宋_GB2312" w:eastAsia="仿宋_GB2312" w:cs="仿宋_GB2312"/>
          <w:kern w:val="0"/>
          <w:sz w:val="32"/>
          <w:szCs w:val="32"/>
          <w:u w:val="none"/>
          <w:lang w:val="en-US" w:eastAsia="zh-CN"/>
        </w:rPr>
      </w:pPr>
      <w:r>
        <w:rPr>
          <w:rFonts w:ascii="fang_song_gb2312" w:hAnsi="fang_song_gb2312" w:eastAsia="fang_song_gb2312" w:cs="fang_song_gb2312"/>
          <w:b/>
          <w:bCs/>
          <w:kern w:val="0"/>
          <w:sz w:val="27"/>
          <w:szCs w:val="27"/>
          <w:u w:val="none"/>
        </w:rPr>
        <w:t xml:space="preserve">    </w:t>
      </w:r>
      <w:r>
        <w:rPr>
          <w:rFonts w:hint="eastAsia" w:ascii="楷体_GB2312" w:hAnsi="楷体_GB2312" w:eastAsia="楷体_GB2312" w:cs="楷体_GB2312"/>
          <w:b w:val="0"/>
          <w:bCs w:val="0"/>
          <w:kern w:val="0"/>
          <w:sz w:val="32"/>
          <w:szCs w:val="32"/>
          <w:u w:val="none"/>
        </w:rPr>
        <w:t>（二）公用经费 7.58万元。</w:t>
      </w:r>
      <w:r>
        <w:rPr>
          <w:rFonts w:hint="eastAsia" w:ascii="仿宋_GB2312" w:hAnsi="仿宋_GB2312" w:eastAsia="仿宋_GB2312" w:cs="仿宋_GB2312"/>
          <w:kern w:val="0"/>
          <w:sz w:val="32"/>
          <w:szCs w:val="32"/>
          <w:u w:val="none"/>
          <w:lang w:val="en-US" w:eastAsia="zh-CN"/>
        </w:rPr>
        <w:t>主要包括：办公费1.65万元、印刷费0.03万元、邮电费0.5万元、工会经费2.81万元、福利费2.59万元。</w:t>
      </w:r>
    </w:p>
    <w:p>
      <w:pPr>
        <w:widowControl/>
        <w:spacing w:before="240" w:after="240"/>
        <w:jc w:val="left"/>
        <w:rPr>
          <w:rFonts w:hint="eastAsia" w:ascii="黑体" w:hAnsi="黑体" w:eastAsia="黑体" w:cs="黑体"/>
          <w:b/>
          <w:bCs/>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hint="eastAsia" w:ascii="黑体" w:hAnsi="黑体" w:eastAsia="黑体" w:cs="黑体"/>
          <w:b/>
          <w:bCs/>
          <w:kern w:val="0"/>
          <w:sz w:val="32"/>
          <w:szCs w:val="32"/>
        </w:rPr>
        <w:t>七、一般公共预算财政拨款项目支出决算情况说明</w:t>
      </w:r>
    </w:p>
    <w:p>
      <w:pPr>
        <w:widowControl/>
        <w:spacing w:before="240" w:after="240"/>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内蒙古自治区鄂尔多斯空港物流园区企业发展服务中心 2024年度一般公共预算财政拨款项目支出决算 6.43万元，其中：</w:t>
      </w:r>
    </w:p>
    <w:p>
      <w:pPr>
        <w:widowControl/>
        <w:spacing w:before="240" w:after="240"/>
        <w:rPr>
          <w:rFonts w:hint="eastAsia" w:ascii="仿宋_GB2312" w:hAnsi="仿宋_GB2312" w:eastAsia="仿宋_GB2312" w:cs="仿宋_GB2312"/>
          <w:kern w:val="0"/>
          <w:sz w:val="32"/>
          <w:szCs w:val="32"/>
          <w:u w:val="none"/>
          <w:lang w:val="en-US" w:eastAsia="zh-CN"/>
        </w:rPr>
      </w:pPr>
      <w:r>
        <w:rPr>
          <w:rFonts w:ascii="fang_song_gb2312" w:hAnsi="fang_song_gb2312" w:eastAsia="fang_song_gb2312" w:cs="fang_song_gb2312"/>
          <w:b/>
          <w:bCs/>
          <w:kern w:val="0"/>
          <w:sz w:val="27"/>
          <w:szCs w:val="27"/>
          <w:u w:val="none"/>
        </w:rPr>
        <w:t> </w:t>
      </w:r>
      <w:r>
        <w:rPr>
          <w:rFonts w:hint="eastAsia" w:ascii="fang_song_gb2312" w:hAnsi="fang_song_gb2312" w:eastAsia="宋体" w:cs="fang_song_gb2312"/>
          <w:b/>
          <w:bCs/>
          <w:kern w:val="0"/>
          <w:sz w:val="27"/>
          <w:szCs w:val="27"/>
          <w:u w:val="none"/>
          <w:lang w:val="en-US" w:eastAsia="zh-CN"/>
        </w:rPr>
        <w:t xml:space="preserve">  </w:t>
      </w:r>
      <w:r>
        <w:rPr>
          <w:rFonts w:hint="eastAsia" w:ascii="fang_song_gb2312" w:hAnsi="fang_song_gb2312" w:cs="fang_song_gb2312"/>
          <w:b/>
          <w:bCs/>
          <w:kern w:val="0"/>
          <w:sz w:val="27"/>
          <w:szCs w:val="27"/>
          <w:u w:val="none"/>
          <w:lang w:val="en-US" w:eastAsia="zh-CN"/>
        </w:rPr>
        <w:t xml:space="preserve">  </w:t>
      </w:r>
      <w:r>
        <w:rPr>
          <w:rFonts w:hint="eastAsia" w:ascii="楷体_GB2312" w:hAnsi="楷体_GB2312" w:eastAsia="楷体_GB2312" w:cs="楷体_GB2312"/>
          <w:b w:val="0"/>
          <w:bCs w:val="0"/>
          <w:kern w:val="0"/>
          <w:sz w:val="32"/>
          <w:szCs w:val="32"/>
          <w:u w:val="none"/>
        </w:rPr>
        <w:t>商品和服务支出</w:t>
      </w:r>
      <w:r>
        <w:rPr>
          <w:rFonts w:hint="eastAsia" w:ascii="仿宋_GB2312" w:hAnsi="仿宋_GB2312" w:eastAsia="仿宋_GB2312" w:cs="仿宋_GB2312"/>
          <w:kern w:val="0"/>
          <w:sz w:val="32"/>
          <w:szCs w:val="32"/>
          <w:u w:val="none"/>
          <w:lang w:val="en-US" w:eastAsia="zh-CN"/>
        </w:rPr>
        <w:t>6.43</w:t>
      </w:r>
      <w:r>
        <w:rPr>
          <w:rFonts w:hint="eastAsia" w:ascii="楷体_GB2312" w:hAnsi="楷体_GB2312" w:eastAsia="楷体_GB2312" w:cs="楷体_GB2312"/>
          <w:b w:val="0"/>
          <w:bCs w:val="0"/>
          <w:kern w:val="0"/>
          <w:sz w:val="32"/>
          <w:szCs w:val="32"/>
          <w:u w:val="none"/>
        </w:rPr>
        <w:t>万元。</w:t>
      </w:r>
      <w:r>
        <w:rPr>
          <w:rFonts w:hint="eastAsia" w:ascii="仿宋_GB2312" w:hAnsi="仿宋_GB2312" w:eastAsia="仿宋_GB2312" w:cs="仿宋_GB2312"/>
          <w:kern w:val="0"/>
          <w:sz w:val="32"/>
          <w:szCs w:val="32"/>
          <w:u w:val="none"/>
          <w:lang w:val="en-US" w:eastAsia="zh-CN"/>
        </w:rPr>
        <w:t>主要包括：办公费0.6万元、印刷费0.12万元、差旅费0.33万元、 维修（护）费1.41万元、委托业务费3.97万元。</w:t>
      </w:r>
    </w:p>
    <w:p>
      <w:pPr>
        <w:pStyle w:val="2"/>
        <w:rPr>
          <w:rFonts w:hint="eastAsia"/>
          <w:lang w:val="en-US" w:eastAsia="zh-CN"/>
        </w:rPr>
      </w:pPr>
    </w:p>
    <w:p>
      <w:pPr>
        <w:widowControl/>
        <w:spacing w:before="240" w:after="240"/>
        <w:jc w:val="left"/>
        <w:rPr>
          <w:rFonts w:hint="eastAsia" w:ascii="黑体" w:hAnsi="黑体" w:eastAsia="黑体" w:cs="黑体"/>
          <w:b/>
          <w:bCs/>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黑体" w:hAnsi="黑体" w:eastAsia="黑体" w:cs="黑体"/>
          <w:b/>
          <w:bCs/>
          <w:kern w:val="0"/>
          <w:sz w:val="32"/>
          <w:szCs w:val="32"/>
        </w:rPr>
        <w:t xml:space="preserve"> 八、财政拨款“三公”经费支出决算情况说明</w:t>
      </w:r>
    </w:p>
    <w:p>
      <w:pPr>
        <w:widowControl/>
        <w:spacing w:before="240" w:after="240"/>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（一）财政拨款“三公”经费支出总体情况说明。</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内蒙古自治区鄂尔多斯空港物流园区企业发展服务中心 2024年度财政拨款“三公”经费全年预算0万元，支出决算0万元，完成预算的0%。其中：因公出国（境）费全年预算0万元，支出决算0万元，完成预算的0%；公务用车购置及运行维护费全年预算0万元，支出决算0万元，完成预算的0%；公务接待费全年预算0万元，支出决算0万元，完成预算的0%。2024年度一般公共预算财政拨款“三公”经费全年预算0万元，支出决算0万元，与预算差异原因</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未发生财政拨款“三公”经费支出</w:t>
      </w:r>
      <w:r>
        <w:rPr>
          <w:rFonts w:hint="eastAsia" w:ascii="仿宋_GB2312" w:hAnsi="仿宋_GB2312" w:eastAsia="仿宋_GB2312" w:cs="仿宋_GB2312"/>
          <w:kern w:val="0"/>
          <w:sz w:val="32"/>
          <w:szCs w:val="32"/>
          <w:u w:val="none"/>
        </w:rPr>
        <w:t>。</w:t>
      </w:r>
    </w:p>
    <w:p>
      <w:pPr>
        <w:widowControl/>
        <w:spacing w:before="240" w:after="240"/>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（二）财政拨款“三公”经费支出具体情况说明。</w:t>
      </w:r>
    </w:p>
    <w:p>
      <w:pPr>
        <w:widowControl/>
        <w:spacing w:before="240" w:after="240"/>
        <w:ind w:firstLine="640" w:firstLineChars="200"/>
        <w:rPr>
          <w:rFonts w:ascii="Times New Roman" w:hAnsi="Times New Roman" w:eastAsia="Times New Roman" w:cs="Times New Roman"/>
          <w:kern w:val="0"/>
          <w:sz w:val="24"/>
          <w:u w:val="none"/>
        </w:rPr>
      </w:pPr>
      <w:r>
        <w:rPr>
          <w:rFonts w:hint="eastAsia" w:ascii="仿宋_GB2312" w:hAnsi="仿宋_GB2312" w:eastAsia="仿宋_GB2312" w:cs="仿宋_GB2312"/>
          <w:kern w:val="0"/>
          <w:sz w:val="32"/>
          <w:szCs w:val="32"/>
          <w:u w:val="none"/>
        </w:rPr>
        <w:t>内蒙古自治区鄂尔多斯空港物流园区企业发展服务中心 2024年度财政拨款“三公”经费支出0万元。因公出国（境）费支出0万元，占0%；公务用车购置及运行维护费支出0万元，占0%；公务接待费支出0万元，占0%。其中：</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1.因公出国（境）费支出0.00万元，全年出国（境）团组0 个，累计0 人次。与上年决算相比，增加0.00万元，变动原因：未发生因公出国（境）费。</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2.公务用车购置及运行维护费支出 0.00万元。其中：</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（1）公务用车购置支出0.00万元。本年度使用财政拨款购置公务用车0辆，开支内容：</w:t>
      </w:r>
      <w:r>
        <w:rPr>
          <w:rFonts w:hint="eastAsia" w:ascii="仿宋_GB2312" w:hAnsi="仿宋_GB2312" w:eastAsia="仿宋_GB2312" w:cs="仿宋_GB2312"/>
          <w:kern w:val="0"/>
          <w:sz w:val="32"/>
          <w:szCs w:val="32"/>
          <w:u w:val="none"/>
          <w:lang w:val="en-US" w:eastAsia="zh-CN"/>
        </w:rPr>
        <w:t>无</w:t>
      </w:r>
      <w:r>
        <w:rPr>
          <w:rFonts w:hint="eastAsia" w:ascii="仿宋_GB2312" w:hAnsi="仿宋_GB2312" w:eastAsia="仿宋_GB2312" w:cs="仿宋_GB2312"/>
          <w:kern w:val="0"/>
          <w:sz w:val="32"/>
          <w:szCs w:val="32"/>
          <w:u w:val="none"/>
        </w:rPr>
        <w:t>。与上年决算相比，增加0.00万元，变动原因：未发生公务用车购置支出。</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（2）公务用车运行维护费支出0.00万元。公务用车运行维护费主要用于按规定保留的公务用车的燃料费、维修费、过桥过路费、保险费、安全奖励费用等支出。截至202</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年12月31日，使用财政拨款开支的公务用车保有量为0 辆。与上年决算相比，增加 0.00万元，变动原因：未发生公务用车运行维护费支出。</w:t>
      </w:r>
    </w:p>
    <w:p>
      <w:pPr>
        <w:widowControl/>
        <w:spacing w:before="240" w:after="240"/>
        <w:rPr>
          <w:rFonts w:hint="eastAsia" w:ascii="仿宋_GB2312" w:hAnsi="仿宋_GB2312" w:eastAsia="仿宋_GB2312" w:cs="仿宋_GB2312"/>
          <w:kern w:val="0"/>
          <w:sz w:val="32"/>
          <w:szCs w:val="32"/>
          <w:u w:val="none"/>
        </w:rPr>
      </w:pPr>
      <w:r>
        <w:rPr>
          <w:rFonts w:ascii="fang_song_gb2312" w:hAnsi="fang_song_gb2312" w:eastAsia="fang_song_gb2312" w:cs="fang_song_gb2312"/>
          <w:kern w:val="0"/>
          <w:sz w:val="27"/>
          <w:szCs w:val="27"/>
          <w:u w:val="none"/>
        </w:rPr>
        <w:t>   </w:t>
      </w:r>
      <w:r>
        <w:rPr>
          <w:rFonts w:hint="eastAsia" w:ascii="仿宋_GB2312" w:hAnsi="仿宋_GB2312" w:eastAsia="仿宋_GB2312" w:cs="仿宋_GB2312"/>
          <w:kern w:val="0"/>
          <w:sz w:val="32"/>
          <w:szCs w:val="32"/>
          <w:u w:val="none"/>
        </w:rPr>
        <w:t xml:space="preserve"> 3.公务接待费支出0.00万元。其中：国内公务接待支出0.00万元，接待0 批次，0 人次，开支内容：</w:t>
      </w:r>
      <w:r>
        <w:rPr>
          <w:rFonts w:hint="eastAsia" w:ascii="仿宋_GB2312" w:hAnsi="仿宋_GB2312" w:eastAsia="仿宋_GB2312" w:cs="仿宋_GB2312"/>
          <w:kern w:val="0"/>
          <w:sz w:val="32"/>
          <w:szCs w:val="32"/>
          <w:u w:val="none"/>
          <w:lang w:val="en-US" w:eastAsia="zh-CN"/>
        </w:rPr>
        <w:t>无</w:t>
      </w:r>
      <w:r>
        <w:rPr>
          <w:rFonts w:hint="eastAsia" w:ascii="仿宋_GB2312" w:hAnsi="仿宋_GB2312" w:eastAsia="仿宋_GB2312" w:cs="仿宋_GB2312"/>
          <w:kern w:val="0"/>
          <w:sz w:val="32"/>
          <w:szCs w:val="32"/>
          <w:u w:val="none"/>
        </w:rPr>
        <w:t>；国（境）外公务接待支出0.00万元，接待0 批次，0 人次，开支内容：</w:t>
      </w:r>
      <w:r>
        <w:rPr>
          <w:rFonts w:hint="eastAsia" w:ascii="仿宋_GB2312" w:hAnsi="仿宋_GB2312" w:eastAsia="仿宋_GB2312" w:cs="仿宋_GB2312"/>
          <w:kern w:val="0"/>
          <w:sz w:val="32"/>
          <w:szCs w:val="32"/>
          <w:u w:val="none"/>
          <w:lang w:val="en-US" w:eastAsia="zh-CN"/>
        </w:rPr>
        <w:t>无</w:t>
      </w:r>
      <w:r>
        <w:rPr>
          <w:rFonts w:hint="eastAsia" w:ascii="仿宋_GB2312" w:hAnsi="仿宋_GB2312" w:eastAsia="仿宋_GB2312" w:cs="仿宋_GB2312"/>
          <w:kern w:val="0"/>
          <w:sz w:val="32"/>
          <w:szCs w:val="32"/>
          <w:u w:val="none"/>
        </w:rPr>
        <w:t>。与上年决算相比，增加 0.00万元，变动原因：未发生公务接待费支出。</w:t>
      </w:r>
    </w:p>
    <w:p>
      <w:pPr>
        <w:widowControl/>
        <w:spacing w:before="240" w:after="240"/>
        <w:jc w:val="left"/>
        <w:rPr>
          <w:rFonts w:hint="eastAsia"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hint="eastAsia" w:ascii="黑体" w:hAnsi="黑体" w:eastAsia="黑体" w:cs="黑体"/>
          <w:b w:val="0"/>
          <w:bCs w:val="0"/>
          <w:kern w:val="0"/>
          <w:sz w:val="32"/>
          <w:szCs w:val="32"/>
        </w:rPr>
        <w:t>九、政府性基金预算财政拨款支出决算情况说明</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内蒙古自治区鄂尔多斯空港物流园区企业发展服务中心202</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年度政府性基金预算财政拨款支出决算 0.00万元。与上年决算相比，增加 0.00万元，变动原因：本单位无政府性基金预算财政拨款收、支、余。</w:t>
      </w:r>
    </w:p>
    <w:p>
      <w:pPr>
        <w:widowControl/>
        <w:spacing w:before="240" w:after="240"/>
        <w:jc w:val="left"/>
        <w:rPr>
          <w:rFonts w:hint="eastAsia"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黑体" w:hAnsi="黑体" w:eastAsia="黑体" w:cs="黑体"/>
          <w:b w:val="0"/>
          <w:bCs w:val="0"/>
          <w:kern w:val="0"/>
          <w:sz w:val="32"/>
          <w:szCs w:val="32"/>
        </w:rPr>
        <w:t xml:space="preserve"> 十、国有资本经营预算财政拨款支出决算情况说明</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内蒙古自治区鄂尔多斯空港物流园区企业发展服务中心202</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年度国有资本经营预算财政拨款支出决算 0.00万元。与上年决算相比，增加 0.00万元，变动原因：本单位无国有资本经营预算财政拨款收、支、余。</w:t>
      </w:r>
    </w:p>
    <w:p>
      <w:pPr>
        <w:widowControl/>
        <w:spacing w:before="240" w:after="240"/>
        <w:rPr>
          <w:rFonts w:hint="eastAsia" w:ascii="黑体" w:hAnsi="黑体" w:eastAsia="黑体" w:cs="黑体"/>
          <w:b w:val="0"/>
          <w:bCs w:val="0"/>
          <w:kern w:val="0"/>
          <w:sz w:val="32"/>
          <w:szCs w:val="32"/>
        </w:rPr>
      </w:pP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Calibri" w:hAnsi="Calibri" w:eastAsia="宋体" w:cs="Calibri"/>
          <w:b/>
          <w:bCs/>
          <w:kern w:val="0"/>
          <w:sz w:val="27"/>
          <w:szCs w:val="27"/>
          <w:lang w:val="en-US" w:eastAsia="zh-CN"/>
        </w:rPr>
        <w:t xml:space="preserve"> </w:t>
      </w:r>
      <w:r>
        <w:rPr>
          <w:rFonts w:ascii="黑体" w:hAnsi="黑体" w:eastAsia="黑体" w:cs="黑体"/>
          <w:b/>
          <w:bCs/>
          <w:kern w:val="0"/>
          <w:sz w:val="27"/>
          <w:szCs w:val="27"/>
        </w:rPr>
        <w:t xml:space="preserve"> </w:t>
      </w:r>
      <w:r>
        <w:rPr>
          <w:rFonts w:hint="eastAsia" w:ascii="黑体" w:hAnsi="黑体" w:eastAsia="黑体" w:cs="黑体"/>
          <w:b w:val="0"/>
          <w:bCs w:val="0"/>
          <w:kern w:val="0"/>
          <w:sz w:val="32"/>
          <w:szCs w:val="32"/>
        </w:rPr>
        <w:t>十一、机构运行经费支出决算情况说明</w:t>
      </w:r>
    </w:p>
    <w:p>
      <w:pPr>
        <w:widowControl/>
        <w:spacing w:before="240" w:after="240"/>
        <w:ind w:firstLine="640" w:firstLineChars="200"/>
        <w:jc w:val="left"/>
        <w:rPr>
          <w:rFonts w:ascii="黑体" w:hAnsi="黑体" w:eastAsia="黑体" w:cs="黑体"/>
          <w:b/>
          <w:bCs/>
          <w:kern w:val="0"/>
          <w:sz w:val="27"/>
          <w:szCs w:val="27"/>
        </w:rPr>
      </w:pPr>
      <w:r>
        <w:rPr>
          <w:rFonts w:hint="eastAsia" w:ascii="仿宋_GB2312" w:hAnsi="仿宋_GB2312" w:eastAsia="仿宋_GB2312" w:cs="仿宋_GB2312"/>
          <w:kern w:val="0"/>
          <w:sz w:val="32"/>
          <w:szCs w:val="32"/>
          <w:u w:val="none"/>
        </w:rPr>
        <w:t>内蒙古自治区鄂尔多斯空港物流园区企业发展服务中心2024年度公用经费支出决算7.58万元，与上年决算相比，增加1.62万元，增长27.09%，变动原因：</w:t>
      </w:r>
      <w:r>
        <w:rPr>
          <w:rFonts w:hint="eastAsia" w:ascii="仿宋_GB2312" w:hAnsi="仿宋_GB2312" w:eastAsia="仿宋_GB2312" w:cs="仿宋_GB2312"/>
          <w:kern w:val="0"/>
          <w:sz w:val="32"/>
          <w:szCs w:val="32"/>
          <w:u w:val="none"/>
          <w:lang w:val="en-US" w:eastAsia="zh-CN"/>
        </w:rPr>
        <w:t>邮电费和福利费较上年增加导致</w:t>
      </w:r>
      <w:r>
        <w:rPr>
          <w:rFonts w:hint="eastAsia" w:ascii="仿宋_GB2312" w:hAnsi="仿宋_GB2312" w:eastAsia="仿宋_GB2312" w:cs="仿宋_GB2312"/>
          <w:kern w:val="0"/>
          <w:sz w:val="32"/>
          <w:szCs w:val="32"/>
          <w:u w:val="none"/>
        </w:rPr>
        <w:t>公用经费支出</w:t>
      </w:r>
      <w:r>
        <w:rPr>
          <w:rFonts w:hint="eastAsia" w:ascii="仿宋_GB2312" w:hAnsi="仿宋_GB2312" w:eastAsia="仿宋_GB2312" w:cs="仿宋_GB2312"/>
          <w:kern w:val="0"/>
          <w:sz w:val="32"/>
          <w:szCs w:val="32"/>
          <w:u w:val="none"/>
          <w:lang w:val="en-US" w:eastAsia="zh-CN"/>
        </w:rPr>
        <w:t>增加</w:t>
      </w:r>
      <w:r>
        <w:rPr>
          <w:rFonts w:hint="eastAsia" w:ascii="仿宋_GB2312" w:hAnsi="仿宋_GB2312" w:eastAsia="仿宋_GB2312" w:cs="仿宋_GB2312"/>
          <w:kern w:val="0"/>
          <w:sz w:val="32"/>
          <w:szCs w:val="32"/>
          <w:u w:val="none"/>
        </w:rPr>
        <w:t>。其中，机关运行经费支出决算0万元。比上年决算相比，增加0万元，增长0%，变动原因：</w:t>
      </w:r>
      <w:r>
        <w:rPr>
          <w:rFonts w:hint="eastAsia" w:ascii="仿宋_GB2312" w:hAnsi="仿宋_GB2312" w:eastAsia="仿宋_GB2312" w:cs="仿宋_GB2312"/>
          <w:kern w:val="0"/>
          <w:sz w:val="32"/>
          <w:szCs w:val="32"/>
          <w:u w:val="none"/>
          <w:lang w:val="en-US" w:eastAsia="zh-CN"/>
        </w:rPr>
        <w:t>未发生</w:t>
      </w:r>
      <w:r>
        <w:rPr>
          <w:rFonts w:hint="eastAsia" w:ascii="仿宋_GB2312" w:hAnsi="仿宋_GB2312" w:eastAsia="仿宋_GB2312" w:cs="仿宋_GB2312"/>
          <w:kern w:val="0"/>
          <w:sz w:val="32"/>
          <w:szCs w:val="32"/>
          <w:u w:val="none"/>
        </w:rPr>
        <w:t>机关运行经费支出。</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p>
    <w:p>
      <w:pPr>
        <w:widowControl/>
        <w:spacing w:before="240" w:after="240"/>
        <w:ind w:firstLine="640" w:firstLineChars="200"/>
        <w:jc w:val="left"/>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十二、政府采购支出决算情况说明</w:t>
      </w:r>
    </w:p>
    <w:p>
      <w:pPr>
        <w:widowControl/>
        <w:spacing w:before="240" w:after="240"/>
        <w:rPr>
          <w:rFonts w:hint="eastAsia" w:ascii="仿宋_GB2312" w:hAnsi="仿宋_GB2312" w:eastAsia="仿宋_GB2312" w:cs="仿宋_GB2312"/>
          <w:kern w:val="0"/>
          <w:sz w:val="32"/>
          <w:szCs w:val="32"/>
          <w:u w:val="none"/>
        </w:rPr>
      </w:pPr>
      <w:r>
        <w:rPr>
          <w:rFonts w:ascii="fang_song_gb2312" w:hAnsi="fang_song_gb2312" w:eastAsia="fang_song_gb2312" w:cs="fang_song_gb2312"/>
          <w:kern w:val="0"/>
          <w:sz w:val="27"/>
          <w:szCs w:val="27"/>
        </w:rPr>
        <w:t>   </w:t>
      </w:r>
      <w:r>
        <w:rPr>
          <w:rFonts w:hint="eastAsia" w:ascii="仿宋_GB2312" w:hAnsi="仿宋_GB2312" w:eastAsia="仿宋_GB2312" w:cs="仿宋_GB2312"/>
          <w:kern w:val="0"/>
          <w:sz w:val="32"/>
          <w:szCs w:val="32"/>
          <w:u w:val="none"/>
        </w:rPr>
        <w:t xml:space="preserve"> 内蒙古自治区鄂尔多斯空港物流园区企业发展服务中心 2024年度政府采购支出总额 0.35万元，其中：政府采购货物支出 0.19万元、政府采购工程支出 0万元、政府采购服务支出 0.16万元。政府采购授予中小企业合同金额 0.35万元，占政府采购支出总额的</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%，其中：授予小微企业合同金额 0.35万元，占政府采购支出总额的</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%；货物采购授予中小企业合同金额占货物支出金额的</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%，工程采购授予中小企业合同金额占工程支出金额的</w:t>
      </w:r>
      <w:r>
        <w:rPr>
          <w:rFonts w:hint="eastAsia" w:ascii="仿宋_GB2312" w:hAnsi="仿宋_GB2312" w:eastAsia="仿宋_GB2312" w:cs="仿宋_GB2312"/>
          <w:kern w:val="0"/>
          <w:sz w:val="32"/>
          <w:szCs w:val="32"/>
          <w:u w:val="none"/>
          <w:lang w:val="en-US" w:eastAsia="zh-CN"/>
        </w:rPr>
        <w:t>0.00</w:t>
      </w:r>
      <w:r>
        <w:rPr>
          <w:rFonts w:hint="eastAsia" w:ascii="仿宋_GB2312" w:hAnsi="仿宋_GB2312" w:eastAsia="仿宋_GB2312" w:cs="仿宋_GB2312"/>
          <w:kern w:val="0"/>
          <w:sz w:val="32"/>
          <w:szCs w:val="32"/>
          <w:u w:val="none"/>
        </w:rPr>
        <w:t>%，服务采购授予中小企业合同金额占服务支出金额的</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w:t>
      </w:r>
    </w:p>
    <w:p>
      <w:pPr>
        <w:widowControl/>
        <w:spacing w:before="240" w:after="240"/>
        <w:jc w:val="left"/>
        <w:rPr>
          <w:rFonts w:hint="eastAsia"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黑体" w:hAnsi="黑体" w:eastAsia="黑体" w:cs="黑体"/>
          <w:b w:val="0"/>
          <w:bCs w:val="0"/>
          <w:kern w:val="0"/>
          <w:sz w:val="32"/>
          <w:szCs w:val="32"/>
        </w:rPr>
        <w:t xml:space="preserve"> 十三、国有资产占用情况说明</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内蒙古自治区鄂尔多斯空港物流园区企业发展服务中截至2024年12月31日，本单位共有车辆 0辆，其中：副部（省）级及以上领导用车0 辆、主要负责人用车 0辆、机要通信用车 0辆、应急保障用车 0辆、执法执勤用车 0辆、特种专业技术用车 0辆、离退休干部服务用车 0辆，其他用车 0辆；单价100万元（含）以上的设备（不含车辆） 0台（套）。</w:t>
      </w:r>
    </w:p>
    <w:p>
      <w:pPr>
        <w:widowControl/>
        <w:spacing w:before="240" w:after="240"/>
        <w:jc w:val="left"/>
        <w:rPr>
          <w:rFonts w:hint="eastAsia"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hint="eastAsia" w:ascii="黑体" w:hAnsi="黑体" w:eastAsia="黑体" w:cs="黑体"/>
          <w:b w:val="0"/>
          <w:bCs w:val="0"/>
          <w:kern w:val="0"/>
          <w:sz w:val="32"/>
          <w:szCs w:val="32"/>
        </w:rPr>
        <w:t>十四、预算绩效情况说明</w:t>
      </w:r>
    </w:p>
    <w:p>
      <w:pPr>
        <w:widowControl/>
        <w:spacing w:before="240" w:after="240"/>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（一）预算绩效管理工作开展情况。</w:t>
      </w:r>
    </w:p>
    <w:p>
      <w:pPr>
        <w:widowControl/>
        <w:spacing w:before="240" w:after="240"/>
        <w:ind w:firstLine="640" w:firstLineChars="200"/>
        <w:rPr>
          <w:rFonts w:hint="eastAsia" w:ascii="仿宋_GB2312" w:hAnsi="仿宋_GB2312" w:eastAsia="仿宋_GB2312" w:cs="仿宋_GB2312"/>
          <w:kern w:val="0"/>
          <w:sz w:val="32"/>
          <w:szCs w:val="32"/>
          <w:u w:val="none"/>
          <w:lang w:eastAsia="zh-CN"/>
        </w:rPr>
      </w:pPr>
      <w:r>
        <w:rPr>
          <w:rFonts w:hint="eastAsia" w:ascii="仿宋_GB2312" w:hAnsi="仿宋_GB2312" w:eastAsia="仿宋_GB2312" w:cs="仿宋_GB2312"/>
          <w:kern w:val="0"/>
          <w:sz w:val="32"/>
          <w:szCs w:val="32"/>
          <w:u w:val="none"/>
        </w:rPr>
        <w:t>内蒙古自治区鄂尔多斯空港物流园区企业发展服务中心根据预算绩效管理要求组织对2024年一般公共预算项目支出全面开展绩效自评，</w:t>
      </w:r>
      <w:r>
        <w:rPr>
          <w:rFonts w:hint="eastAsia" w:ascii="仿宋_GB2312" w:hAnsi="仿宋_GB2312" w:eastAsia="仿宋_GB2312" w:cs="仿宋_GB2312"/>
          <w:kern w:val="0"/>
          <w:sz w:val="32"/>
          <w:szCs w:val="32"/>
          <w:u w:val="none"/>
          <w:lang w:val="en-US" w:eastAsia="zh-CN"/>
        </w:rPr>
        <w:t>共涉及</w:t>
      </w:r>
      <w:r>
        <w:rPr>
          <w:rFonts w:hint="eastAsia" w:ascii="仿宋_GB2312" w:hAnsi="仿宋_GB2312" w:eastAsia="仿宋_GB2312" w:cs="仿宋_GB2312"/>
          <w:kern w:val="0"/>
          <w:sz w:val="32"/>
          <w:szCs w:val="32"/>
          <w:u w:val="none"/>
        </w:rPr>
        <w:t>项目</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个，共涉及资金</w:t>
      </w:r>
      <w:r>
        <w:rPr>
          <w:rFonts w:hint="eastAsia" w:ascii="仿宋_GB2312" w:hAnsi="仿宋_GB2312" w:eastAsia="仿宋_GB2312" w:cs="仿宋_GB2312"/>
          <w:kern w:val="0"/>
          <w:sz w:val="32"/>
          <w:szCs w:val="32"/>
          <w:u w:val="none"/>
          <w:lang w:val="en-US" w:eastAsia="zh-CN"/>
        </w:rPr>
        <w:t>6.43</w:t>
      </w:r>
      <w:r>
        <w:rPr>
          <w:rFonts w:hint="eastAsia" w:ascii="仿宋_GB2312" w:hAnsi="仿宋_GB2312" w:eastAsia="仿宋_GB2312" w:cs="仿宋_GB2312"/>
          <w:kern w:val="0"/>
          <w:sz w:val="32"/>
          <w:szCs w:val="32"/>
          <w:u w:val="none"/>
        </w:rPr>
        <w:t>万元，占一般公共预算项目支出总额的100%</w:t>
      </w:r>
      <w:r>
        <w:rPr>
          <w:rFonts w:hint="eastAsia" w:ascii="仿宋_GB2312" w:hAnsi="仿宋_GB2312" w:eastAsia="仿宋_GB2312" w:cs="仿宋_GB2312"/>
          <w:kern w:val="0"/>
          <w:sz w:val="32"/>
          <w:szCs w:val="32"/>
          <w:u w:val="none"/>
          <w:lang w:eastAsia="zh-CN"/>
        </w:rPr>
        <w:t>。</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本单位未对项目开展重点绩效评价。</w:t>
      </w:r>
    </w:p>
    <w:p>
      <w:pPr>
        <w:widowControl/>
        <w:spacing w:before="240" w:after="240"/>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（二）单位决算中项目绩效自评结果。</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内蒙古自治区鄂尔多斯空港物流园区企业发展服务中心202</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年度在决算中反映</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个一般公共预算项目，共</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个项目的绩效自评结果。</w:t>
      </w:r>
    </w:p>
    <w:p>
      <w:pPr>
        <w:widowControl/>
        <w:spacing w:before="240" w:after="240"/>
        <w:ind w:firstLine="640" w:firstLineChars="200"/>
        <w:rPr>
          <w:rFonts w:hint="eastAsia" w:ascii="fang_song_gb2312" w:hAnsi="fang_song_gb2312" w:eastAsia="宋体" w:cs="fang_song_gb2312"/>
          <w:kern w:val="0"/>
          <w:sz w:val="27"/>
          <w:szCs w:val="27"/>
          <w:u w:val="none"/>
          <w:lang w:val="en-US" w:eastAsia="zh-CN"/>
        </w:rPr>
      </w:pPr>
      <w:r>
        <w:rPr>
          <w:rFonts w:hint="eastAsia" w:ascii="仿宋_GB2312" w:hAnsi="仿宋_GB2312" w:eastAsia="仿宋_GB2312" w:cs="仿宋_GB2312"/>
          <w:kern w:val="0"/>
          <w:sz w:val="32"/>
          <w:szCs w:val="32"/>
          <w:u w:val="none"/>
        </w:rPr>
        <w:t>1.报刊征订经费项目自评综述：根据年初设定的绩效目标，项目自评得分</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。全年预算数为</w:t>
      </w:r>
      <w:r>
        <w:rPr>
          <w:rFonts w:hint="eastAsia" w:ascii="仿宋_GB2312" w:hAnsi="仿宋_GB2312" w:eastAsia="仿宋_GB2312" w:cs="仿宋_GB2312"/>
          <w:kern w:val="0"/>
          <w:sz w:val="32"/>
          <w:szCs w:val="32"/>
          <w:u w:val="none"/>
          <w:lang w:val="en-US" w:eastAsia="zh-CN"/>
        </w:rPr>
        <w:t>0.1</w:t>
      </w:r>
      <w:r>
        <w:rPr>
          <w:rFonts w:hint="eastAsia" w:ascii="仿宋_GB2312" w:hAnsi="仿宋_GB2312" w:eastAsia="仿宋_GB2312" w:cs="仿宋_GB2312"/>
          <w:kern w:val="0"/>
          <w:sz w:val="32"/>
          <w:szCs w:val="32"/>
          <w:u w:val="none"/>
        </w:rPr>
        <w:t>万元，执行数为</w:t>
      </w:r>
      <w:r>
        <w:rPr>
          <w:rFonts w:hint="eastAsia" w:ascii="仿宋_GB2312" w:hAnsi="仿宋_GB2312" w:eastAsia="仿宋_GB2312" w:cs="仿宋_GB2312"/>
          <w:kern w:val="0"/>
          <w:sz w:val="32"/>
          <w:szCs w:val="32"/>
          <w:u w:val="none"/>
          <w:lang w:val="en-US" w:eastAsia="zh-CN"/>
        </w:rPr>
        <w:t>0.1</w:t>
      </w:r>
      <w:r>
        <w:rPr>
          <w:rFonts w:hint="eastAsia" w:ascii="仿宋_GB2312" w:hAnsi="仿宋_GB2312" w:eastAsia="仿宋_GB2312" w:cs="仿宋_GB2312"/>
          <w:kern w:val="0"/>
          <w:sz w:val="32"/>
          <w:szCs w:val="32"/>
          <w:u w:val="none"/>
        </w:rPr>
        <w:t>万元，完成预算的</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%。项目绩效目标完成情况：按照年初预算安排计划，我单位已完成经济、服务企业、招商等相关报刊的订阅，</w:t>
      </w:r>
      <w:r>
        <w:rPr>
          <w:rFonts w:hint="eastAsia" w:ascii="仿宋_GB2312" w:hAnsi="仿宋_GB2312" w:eastAsia="仿宋_GB2312" w:cs="仿宋_GB2312"/>
          <w:kern w:val="0"/>
          <w:sz w:val="32"/>
          <w:szCs w:val="32"/>
          <w:u w:val="none"/>
          <w:lang w:val="en-US" w:eastAsia="zh-CN"/>
        </w:rPr>
        <w:t>报刊杂志覆盖率、订购报刊及时率、订购报刊成本控制率等核心指标都达到预期比例，</w:t>
      </w:r>
      <w:r>
        <w:rPr>
          <w:rFonts w:hint="eastAsia" w:ascii="仿宋_GB2312" w:hAnsi="仿宋_GB2312" w:eastAsia="仿宋_GB2312" w:cs="仿宋_GB2312"/>
          <w:kern w:val="0"/>
          <w:sz w:val="32"/>
          <w:szCs w:val="32"/>
          <w:u w:val="none"/>
        </w:rPr>
        <w:t>及时更新</w:t>
      </w:r>
      <w:r>
        <w:rPr>
          <w:rFonts w:hint="eastAsia" w:ascii="仿宋_GB2312" w:hAnsi="仿宋_GB2312" w:eastAsia="仿宋_GB2312" w:cs="仿宋_GB2312"/>
          <w:kern w:val="0"/>
          <w:sz w:val="32"/>
          <w:szCs w:val="32"/>
          <w:u w:val="none"/>
          <w:lang w:val="en-US" w:eastAsia="zh-CN"/>
        </w:rPr>
        <w:t>了</w:t>
      </w:r>
      <w:r>
        <w:rPr>
          <w:rFonts w:hint="eastAsia" w:ascii="仿宋_GB2312" w:hAnsi="仿宋_GB2312" w:eastAsia="仿宋_GB2312" w:cs="仿宋_GB2312"/>
          <w:kern w:val="0"/>
          <w:sz w:val="32"/>
          <w:szCs w:val="32"/>
          <w:u w:val="none"/>
        </w:rPr>
        <w:t>工作人员业务知识，提升</w:t>
      </w:r>
      <w:r>
        <w:rPr>
          <w:rFonts w:hint="eastAsia" w:ascii="仿宋_GB2312" w:hAnsi="仿宋_GB2312" w:eastAsia="仿宋_GB2312" w:cs="仿宋_GB2312"/>
          <w:kern w:val="0"/>
          <w:sz w:val="32"/>
          <w:szCs w:val="32"/>
          <w:u w:val="none"/>
          <w:lang w:val="en-US" w:eastAsia="zh-CN"/>
        </w:rPr>
        <w:t>了</w:t>
      </w:r>
      <w:r>
        <w:rPr>
          <w:rFonts w:hint="eastAsia" w:ascii="仿宋_GB2312" w:hAnsi="仿宋_GB2312" w:eastAsia="仿宋_GB2312" w:cs="仿宋_GB2312"/>
          <w:kern w:val="0"/>
          <w:sz w:val="32"/>
          <w:szCs w:val="32"/>
          <w:u w:val="none"/>
        </w:rPr>
        <w:t>服务能力。发现的主要问题：</w:t>
      </w:r>
      <w:r>
        <w:rPr>
          <w:rFonts w:hint="eastAsia" w:ascii="仿宋_GB2312" w:hAnsi="仿宋_GB2312" w:eastAsia="仿宋_GB2312" w:cs="仿宋_GB2312"/>
          <w:kern w:val="0"/>
          <w:sz w:val="32"/>
          <w:szCs w:val="32"/>
          <w:u w:val="none"/>
          <w:lang w:val="en-US" w:eastAsia="zh-CN"/>
        </w:rPr>
        <w:t>绩效目标设立不够明确、细化和量化，资金使用效益有待进一步提高。原因：预算编制及自评</w:t>
      </w:r>
      <w:r>
        <w:rPr>
          <w:rFonts w:hint="default" w:ascii="仿宋_GB2312" w:hAnsi="仿宋_GB2312" w:eastAsia="仿宋_GB2312" w:cs="仿宋_GB2312"/>
          <w:kern w:val="0"/>
          <w:sz w:val="32"/>
          <w:szCs w:val="32"/>
          <w:u w:val="none"/>
          <w:lang w:val="en-US" w:eastAsia="zh-CN"/>
        </w:rPr>
        <w:t>经办人员相关的政策、业务</w:t>
      </w:r>
      <w:r>
        <w:rPr>
          <w:rFonts w:hint="eastAsia" w:ascii="仿宋_GB2312" w:hAnsi="仿宋_GB2312" w:eastAsia="仿宋_GB2312" w:cs="仿宋_GB2312"/>
          <w:kern w:val="0"/>
          <w:sz w:val="32"/>
          <w:szCs w:val="32"/>
          <w:u w:val="none"/>
          <w:lang w:val="en-US" w:eastAsia="zh-CN"/>
        </w:rPr>
        <w:t>专业性不强。</w:t>
      </w:r>
      <w:r>
        <w:rPr>
          <w:rFonts w:hint="eastAsia" w:ascii="仿宋_GB2312" w:hAnsi="仿宋_GB2312" w:eastAsia="仿宋_GB2312" w:cs="仿宋_GB2312"/>
          <w:kern w:val="0"/>
          <w:sz w:val="32"/>
          <w:szCs w:val="32"/>
          <w:u w:val="none"/>
        </w:rPr>
        <w:t>下一步改进措施：</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预算财务分析常态化，定期做好预算支出财务分析，做好部门整体支出预算评价工作。</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在确保项目高效运转的情况下，加强项目经费管理。</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加强单位预算编制工作，根据人员情况、业务开展需要，逐项做出预算计划，预算合理、不留缺口、不留空项。</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业务培训，提高评价水平，项目支出绩效自评工作是一项长期性工作，专业性强，工作量大，建议财政部门进一步加强开展部门领导及经办人员相关的政策、业务工作培训，组织开展部门之间、单位之间的经验交流，切实推进绩效评价工作的开展。</w:t>
      </w:r>
      <w:r>
        <w:rPr>
          <w:rFonts w:hint="eastAsia" w:ascii="fang_song_gb2312" w:hAnsi="fang_song_gb2312" w:eastAsia="宋体" w:cs="fang_song_gb2312"/>
          <w:kern w:val="0"/>
          <w:sz w:val="27"/>
          <w:szCs w:val="27"/>
          <w:u w:val="none"/>
          <w:lang w:val="en-US" w:eastAsia="zh-CN"/>
        </w:rPr>
        <w:t xml:space="preserve">  </w:t>
      </w:r>
    </w:p>
    <w:tbl>
      <w:tblPr>
        <w:tblStyle w:val="19"/>
        <w:tblW w:w="96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51"/>
        <w:gridCol w:w="605"/>
        <w:gridCol w:w="748"/>
        <w:gridCol w:w="1014"/>
        <w:gridCol w:w="658"/>
        <w:gridCol w:w="586"/>
        <w:gridCol w:w="802"/>
        <w:gridCol w:w="854"/>
        <w:gridCol w:w="997"/>
        <w:gridCol w:w="1"/>
        <w:gridCol w:w="924"/>
        <w:gridCol w:w="872"/>
        <w:gridCol w:w="1"/>
        <w:gridCol w:w="10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270" w:hRule="atLeast"/>
        </w:trPr>
        <w:tc>
          <w:tcPr>
            <w:tcW w:w="9680"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项目支出绩效自评表</w:t>
            </w:r>
            <w:r>
              <w:rPr>
                <w:rFonts w:hint="eastAsia" w:ascii="宋体" w:hAnsi="宋体" w:eastAsia="宋体" w:cs="宋体"/>
                <w:b/>
                <w:i w:val="0"/>
                <w:color w:val="000000"/>
                <w:kern w:val="0"/>
                <w:sz w:val="40"/>
                <w:szCs w:val="40"/>
                <w:u w:val="none"/>
                <w:lang w:val="en-US" w:eastAsia="zh-CN" w:bidi="ar"/>
              </w:rPr>
              <w:br w:type="textWrapping"/>
            </w:r>
            <w:r>
              <w:rPr>
                <w:rFonts w:hint="eastAsia" w:ascii="宋体" w:hAnsi="宋体" w:eastAsia="宋体" w:cs="宋体"/>
                <w:b/>
                <w:i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4" w:hRule="atLeast"/>
        </w:trPr>
        <w:tc>
          <w:tcPr>
            <w:tcW w:w="11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524"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报刊征订经费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8" w:hRule="atLeast"/>
        </w:trPr>
        <w:tc>
          <w:tcPr>
            <w:tcW w:w="11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00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鄂尔多斯空港物流园区管理委员会（部门）</w:t>
            </w:r>
          </w:p>
        </w:tc>
        <w:tc>
          <w:tcPr>
            <w:tcW w:w="16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86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鄂尔多斯空港物流园区企业发展服务中心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74" w:hRule="atLeast"/>
        </w:trPr>
        <w:tc>
          <w:tcPr>
            <w:tcW w:w="11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7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2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6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9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79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9" w:hRule="atLeast"/>
        </w:trPr>
        <w:tc>
          <w:tcPr>
            <w:tcW w:w="11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12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16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9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79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100.00 </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23" w:hRule="atLeast"/>
        </w:trPr>
        <w:tc>
          <w:tcPr>
            <w:tcW w:w="11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12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16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79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100.00 </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9" w:hRule="atLeast"/>
        </w:trPr>
        <w:tc>
          <w:tcPr>
            <w:tcW w:w="11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2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6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79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8" w:hRule="atLeast"/>
        </w:trPr>
        <w:tc>
          <w:tcPr>
            <w:tcW w:w="11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24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6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79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4" w:hRule="atLeast"/>
        </w:trPr>
        <w:tc>
          <w:tcPr>
            <w:tcW w:w="11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380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71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43" w:hRule="atLeast"/>
        </w:trPr>
        <w:tc>
          <w:tcPr>
            <w:tcW w:w="11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80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通过订阅党风廉政、纪检监察、企业服务等方面报刊杂志，用于日常办公学习，丰富全体工作人员业务知识，提升业务素质。</w:t>
            </w:r>
          </w:p>
        </w:tc>
        <w:tc>
          <w:tcPr>
            <w:tcW w:w="471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2024年，按照年初计划，我单位已完成经济、服务企业、招商等相关报刊的订阅，并支付了相关费用，及时更新工作人员业务知识，提升服务能力。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59" w:hRule="atLeast"/>
        </w:trPr>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7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6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8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9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9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8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10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63" w:hRule="atLeast"/>
        </w:trPr>
        <w:tc>
          <w:tcPr>
            <w:tcW w:w="55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60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74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0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订阅报刊期数</w:t>
            </w:r>
          </w:p>
        </w:tc>
        <w:tc>
          <w:tcPr>
            <w:tcW w:w="65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58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0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12.00</w:t>
            </w:r>
          </w:p>
        </w:tc>
        <w:tc>
          <w:tcPr>
            <w:tcW w:w="99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期</w:t>
            </w:r>
          </w:p>
        </w:tc>
        <w:tc>
          <w:tcPr>
            <w:tcW w:w="92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6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63" w:hRule="atLeast"/>
        </w:trPr>
        <w:tc>
          <w:tcPr>
            <w:tcW w:w="5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0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订阅报刊种类</w:t>
            </w:r>
          </w:p>
        </w:tc>
        <w:tc>
          <w:tcPr>
            <w:tcW w:w="65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58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0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99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种</w:t>
            </w:r>
          </w:p>
        </w:tc>
        <w:tc>
          <w:tcPr>
            <w:tcW w:w="92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7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6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63" w:hRule="atLeast"/>
        </w:trPr>
        <w:tc>
          <w:tcPr>
            <w:tcW w:w="5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0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4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0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报刊杂志质量合格率</w:t>
            </w:r>
          </w:p>
        </w:tc>
        <w:tc>
          <w:tcPr>
            <w:tcW w:w="65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58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0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98.00</w:t>
            </w:r>
          </w:p>
        </w:tc>
        <w:tc>
          <w:tcPr>
            <w:tcW w:w="99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92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7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6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63" w:hRule="atLeast"/>
        </w:trPr>
        <w:tc>
          <w:tcPr>
            <w:tcW w:w="5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0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报刊杂志覆盖率</w:t>
            </w:r>
          </w:p>
        </w:tc>
        <w:tc>
          <w:tcPr>
            <w:tcW w:w="65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58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0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98.00</w:t>
            </w:r>
          </w:p>
        </w:tc>
        <w:tc>
          <w:tcPr>
            <w:tcW w:w="99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92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6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63" w:hRule="atLeast"/>
        </w:trPr>
        <w:tc>
          <w:tcPr>
            <w:tcW w:w="5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0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4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10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订购报刊及时率</w:t>
            </w:r>
          </w:p>
        </w:tc>
        <w:tc>
          <w:tcPr>
            <w:tcW w:w="65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58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0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98.00</w:t>
            </w:r>
          </w:p>
        </w:tc>
        <w:tc>
          <w:tcPr>
            <w:tcW w:w="99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92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6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03" w:hRule="atLeast"/>
        </w:trPr>
        <w:tc>
          <w:tcPr>
            <w:tcW w:w="5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0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订购期间</w:t>
            </w:r>
          </w:p>
        </w:tc>
        <w:tc>
          <w:tcPr>
            <w:tcW w:w="65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58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2024年1月-2024年12月</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w:t>
            </w:r>
          </w:p>
        </w:tc>
        <w:tc>
          <w:tcPr>
            <w:tcW w:w="99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6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63" w:hRule="atLeast"/>
        </w:trPr>
        <w:tc>
          <w:tcPr>
            <w:tcW w:w="5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0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4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10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订购报刊费用</w:t>
            </w:r>
          </w:p>
        </w:tc>
        <w:tc>
          <w:tcPr>
            <w:tcW w:w="65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58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0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w:t>
            </w:r>
          </w:p>
        </w:tc>
        <w:tc>
          <w:tcPr>
            <w:tcW w:w="99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92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6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63" w:hRule="atLeast"/>
        </w:trPr>
        <w:tc>
          <w:tcPr>
            <w:tcW w:w="5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0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订购报刊成本控制率</w:t>
            </w:r>
          </w:p>
        </w:tc>
        <w:tc>
          <w:tcPr>
            <w:tcW w:w="65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58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0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98.00</w:t>
            </w:r>
          </w:p>
        </w:tc>
        <w:tc>
          <w:tcPr>
            <w:tcW w:w="99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92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6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59" w:hRule="atLeast"/>
        </w:trPr>
        <w:tc>
          <w:tcPr>
            <w:tcW w:w="5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0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7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0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完善职工业务学习途径和学习内容</w:t>
            </w:r>
          </w:p>
        </w:tc>
        <w:tc>
          <w:tcPr>
            <w:tcW w:w="65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58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基本完善</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基本完善</w:t>
            </w:r>
          </w:p>
        </w:tc>
        <w:tc>
          <w:tcPr>
            <w:tcW w:w="99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87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6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59" w:hRule="atLeast"/>
        </w:trPr>
        <w:tc>
          <w:tcPr>
            <w:tcW w:w="5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0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10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提升职工业务素质和业务能力</w:t>
            </w:r>
          </w:p>
        </w:tc>
        <w:tc>
          <w:tcPr>
            <w:tcW w:w="65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58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显著提升</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显著提升</w:t>
            </w:r>
          </w:p>
        </w:tc>
        <w:tc>
          <w:tcPr>
            <w:tcW w:w="99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7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6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59" w:hRule="atLeast"/>
        </w:trPr>
        <w:tc>
          <w:tcPr>
            <w:tcW w:w="5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0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7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0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职工对订购报刊的满意度</w:t>
            </w:r>
          </w:p>
        </w:tc>
        <w:tc>
          <w:tcPr>
            <w:tcW w:w="65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58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0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98.00</w:t>
            </w:r>
          </w:p>
        </w:tc>
        <w:tc>
          <w:tcPr>
            <w:tcW w:w="998"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92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7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6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3" w:hRule="atLeast"/>
        </w:trPr>
        <w:tc>
          <w:tcPr>
            <w:tcW w:w="681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9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0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widowControl/>
        <w:spacing w:before="240" w:after="240"/>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rPr>
        <w:t>.代理记账经费项目自评综述：根据年初设定的绩效目标，项目自评得分</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分。全年预算数为</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rPr>
        <w:t>万元，执行数为</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rPr>
        <w:t>万元，完成预算的</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%。项目绩效目标完成情况：按照年初预算安排计划，我单位已完成委托代理记账费用支付，</w:t>
      </w:r>
      <w:r>
        <w:rPr>
          <w:rFonts w:hint="eastAsia" w:ascii="仿宋_GB2312" w:hAnsi="仿宋_GB2312" w:eastAsia="仿宋_GB2312" w:cs="仿宋_GB2312"/>
          <w:kern w:val="0"/>
          <w:sz w:val="32"/>
          <w:szCs w:val="32"/>
          <w:u w:val="none"/>
          <w:lang w:val="en-US" w:eastAsia="zh-CN"/>
        </w:rPr>
        <w:t>会计凭证登记及时率、会计账表报送及时率、资金合理利用率等核心指标都达到预期比例，</w:t>
      </w:r>
      <w:r>
        <w:rPr>
          <w:rFonts w:hint="eastAsia" w:ascii="仿宋_GB2312" w:hAnsi="仿宋_GB2312" w:eastAsia="仿宋_GB2312" w:cs="仿宋_GB2312"/>
          <w:kern w:val="0"/>
          <w:sz w:val="32"/>
          <w:szCs w:val="32"/>
          <w:u w:val="none"/>
        </w:rPr>
        <w:t>保证了会计核算业务正常开展</w:t>
      </w:r>
      <w:r>
        <w:rPr>
          <w:rFonts w:hint="eastAsia" w:ascii="仿宋_GB2312" w:hAnsi="仿宋_GB2312" w:eastAsia="仿宋_GB2312" w:cs="仿宋_GB2312"/>
          <w:kern w:val="0"/>
          <w:sz w:val="32"/>
          <w:szCs w:val="32"/>
          <w:u w:val="none"/>
          <w:lang w:eastAsia="zh-CN"/>
        </w:rPr>
        <w:t>，提升</w:t>
      </w:r>
      <w:r>
        <w:rPr>
          <w:rFonts w:hint="eastAsia" w:ascii="仿宋_GB2312" w:hAnsi="仿宋_GB2312" w:eastAsia="仿宋_GB2312" w:cs="仿宋_GB2312"/>
          <w:kern w:val="0"/>
          <w:sz w:val="32"/>
          <w:szCs w:val="32"/>
          <w:u w:val="none"/>
          <w:lang w:val="en-US" w:eastAsia="zh-CN"/>
        </w:rPr>
        <w:t>了</w:t>
      </w:r>
      <w:r>
        <w:rPr>
          <w:rFonts w:hint="eastAsia" w:ascii="仿宋_GB2312" w:hAnsi="仿宋_GB2312" w:eastAsia="仿宋_GB2312" w:cs="仿宋_GB2312"/>
          <w:kern w:val="0"/>
          <w:sz w:val="32"/>
          <w:szCs w:val="32"/>
          <w:u w:val="none"/>
          <w:lang w:eastAsia="zh-CN"/>
        </w:rPr>
        <w:t>单位账务数据公开准确性</w:t>
      </w:r>
      <w:r>
        <w:rPr>
          <w:rFonts w:hint="eastAsia" w:ascii="仿宋_GB2312" w:hAnsi="仿宋_GB2312" w:eastAsia="仿宋_GB2312" w:cs="仿宋_GB2312"/>
          <w:kern w:val="0"/>
          <w:sz w:val="32"/>
          <w:szCs w:val="32"/>
          <w:u w:val="none"/>
        </w:rPr>
        <w:t>。发现的主要问题：</w:t>
      </w:r>
      <w:r>
        <w:rPr>
          <w:rFonts w:hint="eastAsia" w:ascii="仿宋_GB2312" w:hAnsi="仿宋_GB2312" w:eastAsia="仿宋_GB2312" w:cs="仿宋_GB2312"/>
          <w:kern w:val="0"/>
          <w:sz w:val="32"/>
          <w:szCs w:val="32"/>
          <w:u w:val="none"/>
          <w:lang w:val="en-US" w:eastAsia="zh-CN"/>
        </w:rPr>
        <w:t>绩效目标设立不够明确、细化和量化，资金使用效益有待进一步提高。原因：预算编制及自评</w:t>
      </w:r>
      <w:r>
        <w:rPr>
          <w:rFonts w:hint="default" w:ascii="仿宋_GB2312" w:hAnsi="仿宋_GB2312" w:eastAsia="仿宋_GB2312" w:cs="仿宋_GB2312"/>
          <w:kern w:val="0"/>
          <w:sz w:val="32"/>
          <w:szCs w:val="32"/>
          <w:u w:val="none"/>
          <w:lang w:val="en-US" w:eastAsia="zh-CN"/>
        </w:rPr>
        <w:t>经办人员相关的政策、业务</w:t>
      </w:r>
      <w:r>
        <w:rPr>
          <w:rFonts w:hint="eastAsia" w:ascii="仿宋_GB2312" w:hAnsi="仿宋_GB2312" w:eastAsia="仿宋_GB2312" w:cs="仿宋_GB2312"/>
          <w:kern w:val="0"/>
          <w:sz w:val="32"/>
          <w:szCs w:val="32"/>
          <w:u w:val="none"/>
          <w:lang w:val="en-US" w:eastAsia="zh-CN"/>
        </w:rPr>
        <w:t>专业性不强。</w:t>
      </w:r>
      <w:r>
        <w:rPr>
          <w:rFonts w:hint="eastAsia" w:ascii="仿宋_GB2312" w:hAnsi="仿宋_GB2312" w:eastAsia="仿宋_GB2312" w:cs="仿宋_GB2312"/>
          <w:kern w:val="0"/>
          <w:sz w:val="32"/>
          <w:szCs w:val="32"/>
          <w:u w:val="none"/>
        </w:rPr>
        <w:t>下一步改进措施：</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预算财务分析常态化，定期做好预算支出财务分析，做好部门整体支出预算评价工作。</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在确保项目高效运转的情况下，加强项目经费管理。</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加强单位预算编制工作，根据人员情况、业务开展需要，逐项做出预算计划，预算合理、不留缺口、不留空项。</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业务培训，提高评价水平，项目支出绩效自评工作是一项长期性工作，专业性强，工作量大，建议财政部门进一步加强开展部门领导及经办人员相关的政策、业务工作培训，组织开展部门之间、单位之间的经验交流，切实推进绩效评价工作的开展。</w:t>
      </w:r>
      <w:r>
        <w:rPr>
          <w:rFonts w:hint="eastAsia" w:ascii="fang_song_gb2312" w:hAnsi="fang_song_gb2312" w:eastAsia="宋体" w:cs="fang_song_gb2312"/>
          <w:kern w:val="0"/>
          <w:sz w:val="27"/>
          <w:szCs w:val="27"/>
          <w:u w:val="none"/>
          <w:lang w:val="en-US" w:eastAsia="zh-CN"/>
        </w:rPr>
        <w:t xml:space="preserve"> </w:t>
      </w:r>
      <w:r>
        <w:rPr>
          <w:rFonts w:hint="eastAsia" w:ascii="仿宋_GB2312" w:hAnsi="仿宋_GB2312" w:eastAsia="仿宋_GB2312" w:cs="仿宋_GB2312"/>
          <w:kern w:val="0"/>
          <w:sz w:val="32"/>
          <w:szCs w:val="32"/>
          <w:u w:val="none"/>
          <w:lang w:val="en-US" w:eastAsia="zh-CN"/>
        </w:rPr>
        <w:t xml:space="preserve"> </w:t>
      </w:r>
    </w:p>
    <w:tbl>
      <w:tblPr>
        <w:tblStyle w:val="19"/>
        <w:tblW w:w="96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98"/>
        <w:gridCol w:w="753"/>
        <w:gridCol w:w="963"/>
        <w:gridCol w:w="945"/>
        <w:gridCol w:w="560"/>
        <w:gridCol w:w="717"/>
        <w:gridCol w:w="822"/>
        <w:gridCol w:w="701"/>
        <w:gridCol w:w="699"/>
        <w:gridCol w:w="805"/>
        <w:gridCol w:w="928"/>
        <w:gridCol w:w="10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420" w:hRule="atLeast"/>
        </w:trPr>
        <w:tc>
          <w:tcPr>
            <w:tcW w:w="964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项目支出绩效自评表</w:t>
            </w:r>
            <w:r>
              <w:rPr>
                <w:rFonts w:hint="eastAsia" w:ascii="宋体" w:hAnsi="宋体" w:eastAsia="宋体" w:cs="宋体"/>
                <w:b/>
                <w:i w:val="0"/>
                <w:color w:val="000000"/>
                <w:kern w:val="0"/>
                <w:sz w:val="40"/>
                <w:szCs w:val="40"/>
                <w:u w:val="none"/>
                <w:lang w:val="en-US" w:eastAsia="zh-CN" w:bidi="ar"/>
              </w:rPr>
              <w:br w:type="textWrapping"/>
            </w:r>
            <w:r>
              <w:rPr>
                <w:rFonts w:hint="eastAsia" w:ascii="宋体" w:hAnsi="宋体" w:eastAsia="宋体" w:cs="宋体"/>
                <w:b/>
                <w:i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1" w:hRule="atLeast"/>
        </w:trPr>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18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代理记账经费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3" w:hRule="atLeast"/>
        </w:trPr>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18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鄂尔多斯空港物流园区管理委员会（部门）</w:t>
            </w:r>
          </w:p>
        </w:tc>
        <w:tc>
          <w:tcPr>
            <w:tcW w:w="15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4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鄂尔多斯空港物流园区企业发展服务中心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3" w:hRule="atLeast"/>
        </w:trPr>
        <w:tc>
          <w:tcPr>
            <w:tcW w:w="14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2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5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10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3" w:hRule="atLeast"/>
        </w:trPr>
        <w:tc>
          <w:tcPr>
            <w:tcW w:w="14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2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5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100.00 </w:t>
            </w:r>
          </w:p>
        </w:tc>
        <w:tc>
          <w:tcPr>
            <w:tcW w:w="10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3" w:hRule="atLeast"/>
        </w:trPr>
        <w:tc>
          <w:tcPr>
            <w:tcW w:w="14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2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5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100.00 </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3" w:hRule="atLeast"/>
        </w:trPr>
        <w:tc>
          <w:tcPr>
            <w:tcW w:w="14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2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1" w:hRule="atLeast"/>
        </w:trPr>
        <w:tc>
          <w:tcPr>
            <w:tcW w:w="14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2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1" w:hRule="atLeast"/>
        </w:trPr>
        <w:tc>
          <w:tcPr>
            <w:tcW w:w="14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0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18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77" w:hRule="atLeast"/>
        </w:trPr>
        <w:tc>
          <w:tcPr>
            <w:tcW w:w="14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0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通过开展委托代理记账业务，扎实开展中心会计核算工作，提高中心会计核算水平。</w:t>
            </w:r>
          </w:p>
        </w:tc>
        <w:tc>
          <w:tcPr>
            <w:tcW w:w="418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2024年，我单位已完成委托代理记账费用支付，保证了会计核算业务正常开展。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72"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6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10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64" w:hRule="atLeast"/>
        </w:trPr>
        <w:tc>
          <w:tcPr>
            <w:tcW w:w="69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75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6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9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登记会计凭证数量</w:t>
            </w:r>
          </w:p>
        </w:tc>
        <w:tc>
          <w:tcPr>
            <w:tcW w:w="56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2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w:t>
            </w:r>
          </w:p>
        </w:tc>
        <w:tc>
          <w:tcPr>
            <w:tcW w:w="70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900.00</w:t>
            </w:r>
          </w:p>
        </w:tc>
        <w:tc>
          <w:tcPr>
            <w:tcW w:w="6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笔</w:t>
            </w:r>
          </w:p>
        </w:tc>
        <w:tc>
          <w:tcPr>
            <w:tcW w:w="80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0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64"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6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总账明细账报表</w:t>
            </w:r>
          </w:p>
        </w:tc>
        <w:tc>
          <w:tcPr>
            <w:tcW w:w="56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2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70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c>
          <w:tcPr>
            <w:tcW w:w="6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0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0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72"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6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9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会计账务登记准确合规</w:t>
            </w:r>
          </w:p>
        </w:tc>
        <w:tc>
          <w:tcPr>
            <w:tcW w:w="56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2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70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6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0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0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72"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6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会计数据报送准确合规</w:t>
            </w:r>
          </w:p>
        </w:tc>
        <w:tc>
          <w:tcPr>
            <w:tcW w:w="56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2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70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6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0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0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72"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6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9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会计凭证登记及时率</w:t>
            </w:r>
          </w:p>
        </w:tc>
        <w:tc>
          <w:tcPr>
            <w:tcW w:w="56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2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70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98.00</w:t>
            </w:r>
          </w:p>
        </w:tc>
        <w:tc>
          <w:tcPr>
            <w:tcW w:w="6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0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72"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6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会计</w:t>
            </w:r>
            <w:r>
              <w:rPr>
                <w:rFonts w:hint="eastAsia" w:ascii="宋体" w:hAnsi="宋体" w:cs="宋体"/>
                <w:i w:val="0"/>
                <w:color w:val="000000"/>
                <w:kern w:val="0"/>
                <w:sz w:val="18"/>
                <w:szCs w:val="18"/>
                <w:u w:val="none"/>
                <w:lang w:val="en-US" w:eastAsia="zh-CN" w:bidi="ar"/>
              </w:rPr>
              <w:t>账表</w:t>
            </w:r>
            <w:r>
              <w:rPr>
                <w:rFonts w:hint="eastAsia" w:ascii="宋体" w:hAnsi="宋体" w:eastAsia="宋体" w:cs="宋体"/>
                <w:i w:val="0"/>
                <w:color w:val="000000"/>
                <w:kern w:val="0"/>
                <w:sz w:val="18"/>
                <w:szCs w:val="18"/>
                <w:u w:val="none"/>
                <w:lang w:val="en-US" w:eastAsia="zh-CN" w:bidi="ar"/>
              </w:rPr>
              <w:t>报送及时率</w:t>
            </w:r>
          </w:p>
        </w:tc>
        <w:tc>
          <w:tcPr>
            <w:tcW w:w="56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2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70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98.00</w:t>
            </w:r>
          </w:p>
        </w:tc>
        <w:tc>
          <w:tcPr>
            <w:tcW w:w="6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0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64"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6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9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记账费用</w:t>
            </w:r>
          </w:p>
        </w:tc>
        <w:tc>
          <w:tcPr>
            <w:tcW w:w="56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7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2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70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c>
          <w:tcPr>
            <w:tcW w:w="6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万元 </w:t>
            </w:r>
          </w:p>
        </w:tc>
        <w:tc>
          <w:tcPr>
            <w:tcW w:w="80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64"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6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资金合理利用率</w:t>
            </w:r>
          </w:p>
        </w:tc>
        <w:tc>
          <w:tcPr>
            <w:tcW w:w="56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2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70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98.00</w:t>
            </w:r>
          </w:p>
        </w:tc>
        <w:tc>
          <w:tcPr>
            <w:tcW w:w="6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0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20"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96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9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提升单位账务数据公开准确性</w:t>
            </w:r>
          </w:p>
        </w:tc>
        <w:tc>
          <w:tcPr>
            <w:tcW w:w="56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有效提升</w:t>
            </w:r>
          </w:p>
        </w:tc>
        <w:tc>
          <w:tcPr>
            <w:tcW w:w="70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有效提升</w:t>
            </w:r>
          </w:p>
        </w:tc>
        <w:tc>
          <w:tcPr>
            <w:tcW w:w="6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72"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6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9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提升单位会计核算水平</w:t>
            </w:r>
          </w:p>
        </w:tc>
        <w:tc>
          <w:tcPr>
            <w:tcW w:w="56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有效提升</w:t>
            </w:r>
          </w:p>
        </w:tc>
        <w:tc>
          <w:tcPr>
            <w:tcW w:w="70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有效提升</w:t>
            </w:r>
          </w:p>
        </w:tc>
        <w:tc>
          <w:tcPr>
            <w:tcW w:w="6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20" w:hRule="atLeast"/>
        </w:trPr>
        <w:tc>
          <w:tcPr>
            <w:tcW w:w="6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96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94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提升单位人员开展会计报账业务的满意度</w:t>
            </w:r>
          </w:p>
        </w:tc>
        <w:tc>
          <w:tcPr>
            <w:tcW w:w="56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2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70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98.00</w:t>
            </w:r>
          </w:p>
        </w:tc>
        <w:tc>
          <w:tcPr>
            <w:tcW w:w="69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0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8" w:hRule="atLeast"/>
        </w:trPr>
        <w:tc>
          <w:tcPr>
            <w:tcW w:w="685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0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pStyle w:val="2"/>
        <w:rPr>
          <w:rFonts w:hint="eastAsia"/>
          <w:lang w:val="en-US" w:eastAsia="zh-CN"/>
        </w:rPr>
      </w:pPr>
    </w:p>
    <w:p>
      <w:pPr>
        <w:pStyle w:val="2"/>
        <w:ind w:firstLine="640" w:firstLineChars="200"/>
        <w:rPr>
          <w:rFonts w:hint="eastAsia" w:ascii="fang_song_gb2312" w:hAnsi="fang_song_gb2312" w:eastAsia="宋体" w:cs="fang_song_gb2312"/>
          <w:kern w:val="0"/>
          <w:sz w:val="27"/>
          <w:szCs w:val="27"/>
          <w:u w:val="none"/>
          <w:lang w:val="en-US" w:eastAsia="zh-CN"/>
        </w:rPr>
      </w:pPr>
      <w:r>
        <w:rPr>
          <w:rFonts w:hint="eastAsia" w:ascii="仿宋_GB2312" w:hAnsi="仿宋_GB2312" w:eastAsia="仿宋_GB2312" w:cs="仿宋_GB2312"/>
          <w:kern w:val="0"/>
          <w:sz w:val="32"/>
          <w:szCs w:val="32"/>
          <w:u w:val="none"/>
          <w:lang w:val="en-US" w:eastAsia="zh-CN" w:bidi="ar-SA"/>
        </w:rPr>
        <w:t>3.优化营商环境经费项目自评综述：根据年初设定的绩效目标，项目自评得分60分。全年预算数为5万元，执行数为1.5万元，完成预算的30%。项目绩效目标完成情况：</w:t>
      </w:r>
      <w:bookmarkStart w:id="1" w:name="OLE_LINK1"/>
      <w:r>
        <w:rPr>
          <w:rFonts w:hint="eastAsia" w:ascii="仿宋_GB2312" w:hAnsi="仿宋_GB2312" w:eastAsia="仿宋_GB2312" w:cs="仿宋_GB2312"/>
          <w:kern w:val="0"/>
          <w:sz w:val="32"/>
          <w:szCs w:val="32"/>
          <w:u w:val="none"/>
        </w:rPr>
        <w:t>按照年初预算安排计划，</w:t>
      </w:r>
      <w:r>
        <w:rPr>
          <w:rFonts w:hint="eastAsia" w:ascii="仿宋_GB2312" w:hAnsi="仿宋_GB2312" w:eastAsia="仿宋_GB2312" w:cs="仿宋_GB2312"/>
          <w:kern w:val="0"/>
          <w:sz w:val="32"/>
          <w:szCs w:val="32"/>
          <w:u w:val="none"/>
          <w:lang w:val="en-US" w:eastAsia="zh-CN" w:bidi="ar-SA"/>
        </w:rPr>
        <w:t>根据园区优化营商环境工作要求，实际使用1.5万元组织工作人员开展为企找订单活动等相关工作</w:t>
      </w:r>
      <w:r>
        <w:rPr>
          <w:rFonts w:hint="eastAsia" w:ascii="仿宋_GB2312" w:hAnsi="仿宋_GB2312" w:eastAsia="仿宋_GB2312" w:cs="仿宋_GB2312"/>
          <w:kern w:val="0"/>
          <w:sz w:val="32"/>
          <w:szCs w:val="32"/>
          <w:u w:val="none"/>
        </w:rPr>
        <w:t>，</w:t>
      </w:r>
      <w:r>
        <w:rPr>
          <w:rFonts w:hint="eastAsia" w:ascii="仿宋_GB2312" w:hAnsi="仿宋_GB2312" w:eastAsia="仿宋_GB2312" w:cs="仿宋_GB2312"/>
          <w:kern w:val="0"/>
          <w:sz w:val="32"/>
          <w:szCs w:val="32"/>
          <w:u w:val="none"/>
          <w:lang w:val="en-US" w:eastAsia="zh-CN" w:bidi="ar-SA"/>
        </w:rPr>
        <w:t>助力企业纾困发展，</w:t>
      </w:r>
      <w:r>
        <w:rPr>
          <w:rFonts w:hint="eastAsia" w:ascii="仿宋_GB2312" w:hAnsi="仿宋_GB2312" w:eastAsia="仿宋_GB2312" w:cs="仿宋_GB2312"/>
          <w:kern w:val="0"/>
          <w:sz w:val="32"/>
          <w:szCs w:val="32"/>
          <w:u w:val="none"/>
          <w:lang w:val="en-US" w:eastAsia="zh-CN"/>
        </w:rPr>
        <w:t>为企服务及优化营商环境工作完成率、开展为企服务工作及时率、提高企业服务日常工作运转效率等核心指标都达到预期比例，提升了政务服务及企业服务质量，</w:t>
      </w:r>
      <w:r>
        <w:rPr>
          <w:rFonts w:hint="eastAsia" w:ascii="仿宋_GB2312" w:hAnsi="仿宋_GB2312" w:eastAsia="仿宋_GB2312" w:cs="仿宋_GB2312"/>
          <w:kern w:val="0"/>
          <w:sz w:val="32"/>
          <w:szCs w:val="32"/>
          <w:u w:val="none"/>
        </w:rPr>
        <w:t>提高</w:t>
      </w:r>
      <w:r>
        <w:rPr>
          <w:rFonts w:hint="eastAsia" w:ascii="仿宋_GB2312" w:hAnsi="仿宋_GB2312" w:eastAsia="仿宋_GB2312" w:cs="仿宋_GB2312"/>
          <w:kern w:val="0"/>
          <w:sz w:val="32"/>
          <w:szCs w:val="32"/>
          <w:u w:val="none"/>
          <w:lang w:val="en-US" w:eastAsia="zh-CN"/>
        </w:rPr>
        <w:t>了</w:t>
      </w:r>
      <w:r>
        <w:rPr>
          <w:rFonts w:hint="eastAsia" w:ascii="仿宋_GB2312" w:hAnsi="仿宋_GB2312" w:eastAsia="仿宋_GB2312" w:cs="仿宋_GB2312"/>
          <w:kern w:val="0"/>
          <w:sz w:val="32"/>
          <w:szCs w:val="32"/>
          <w:u w:val="none"/>
        </w:rPr>
        <w:t>入园企业办事效率。</w:t>
      </w:r>
      <w:bookmarkEnd w:id="1"/>
      <w:r>
        <w:rPr>
          <w:rFonts w:hint="eastAsia" w:ascii="仿宋_GB2312" w:hAnsi="仿宋_GB2312" w:eastAsia="仿宋_GB2312" w:cs="仿宋_GB2312"/>
          <w:kern w:val="0"/>
          <w:sz w:val="32"/>
          <w:szCs w:val="32"/>
          <w:u w:val="none"/>
        </w:rPr>
        <w:t>发现的主要问题：</w:t>
      </w:r>
      <w:r>
        <w:rPr>
          <w:rFonts w:hint="eastAsia" w:ascii="仿宋_GB2312" w:hAnsi="仿宋_GB2312" w:eastAsia="仿宋_GB2312" w:cs="仿宋_GB2312"/>
          <w:kern w:val="0"/>
          <w:sz w:val="32"/>
          <w:szCs w:val="32"/>
          <w:u w:val="none"/>
          <w:lang w:val="en-US" w:eastAsia="zh-CN"/>
        </w:rPr>
        <w:t>主动服务意识不足，对经营主体的宣传和解惑不够到位，为企服务水平有待进一步提升。原因：</w:t>
      </w:r>
      <w:r>
        <w:rPr>
          <w:rFonts w:hint="default" w:ascii="仿宋_GB2312" w:hAnsi="仿宋_GB2312" w:eastAsia="仿宋_GB2312" w:cs="仿宋_GB2312"/>
          <w:kern w:val="0"/>
          <w:sz w:val="32"/>
          <w:szCs w:val="32"/>
          <w:u w:val="none"/>
          <w:lang w:val="en-US" w:eastAsia="zh-CN"/>
        </w:rPr>
        <w:t>经办人员相关的政策、业务</w:t>
      </w:r>
      <w:r>
        <w:rPr>
          <w:rFonts w:hint="eastAsia" w:ascii="仿宋_GB2312" w:hAnsi="仿宋_GB2312" w:eastAsia="仿宋_GB2312" w:cs="仿宋_GB2312"/>
          <w:kern w:val="0"/>
          <w:sz w:val="32"/>
          <w:szCs w:val="32"/>
          <w:u w:val="none"/>
          <w:lang w:val="en-US" w:eastAsia="zh-CN"/>
        </w:rPr>
        <w:t>专业性不强。</w:t>
      </w:r>
      <w:r>
        <w:rPr>
          <w:rFonts w:hint="eastAsia" w:ascii="仿宋_GB2312" w:hAnsi="仿宋_GB2312" w:eastAsia="仿宋_GB2312" w:cs="仿宋_GB2312"/>
          <w:kern w:val="0"/>
          <w:sz w:val="32"/>
          <w:szCs w:val="32"/>
          <w:u w:val="none"/>
        </w:rPr>
        <w:t>下一步改进措施：</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预算财务分析常态化，定期做好预算支出财务分析，做好部门整体支出预算评价工作。</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在确保项目高效运转的情况下，加强项目经费管理。</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加强单位预算编制工作，根据人员情况、业务开展需要，逐项做出预算计划，预算合理、不留缺口、不留空项。</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业务培训，提高评价水平，项目支出绩效自评工作是一项长期性工作，专业性强，工作量大，建议财政部门进一步加强开展部门领导及经办人员相关的政策、业务工作培训，组织开展部门之间、单位之间的经验交流，切实推进绩效评价工作的开展。</w:t>
      </w:r>
      <w:r>
        <w:rPr>
          <w:rFonts w:hint="eastAsia" w:ascii="fang_song_gb2312" w:hAnsi="fang_song_gb2312" w:eastAsia="宋体" w:cs="fang_song_gb2312"/>
          <w:kern w:val="0"/>
          <w:sz w:val="27"/>
          <w:szCs w:val="27"/>
          <w:u w:val="none"/>
          <w:lang w:val="en-US" w:eastAsia="zh-CN"/>
        </w:rPr>
        <w:t xml:space="preserve"> </w:t>
      </w:r>
    </w:p>
    <w:tbl>
      <w:tblPr>
        <w:tblStyle w:val="19"/>
        <w:tblW w:w="95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8"/>
        <w:gridCol w:w="615"/>
        <w:gridCol w:w="783"/>
        <w:gridCol w:w="1098"/>
        <w:gridCol w:w="532"/>
        <w:gridCol w:w="517"/>
        <w:gridCol w:w="650"/>
        <w:gridCol w:w="900"/>
        <w:gridCol w:w="717"/>
        <w:gridCol w:w="632"/>
        <w:gridCol w:w="716"/>
        <w:gridCol w:w="18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60" w:hRule="atLeast"/>
        </w:trPr>
        <w:tc>
          <w:tcPr>
            <w:tcW w:w="957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项目支出绩效自评表</w:t>
            </w:r>
            <w:r>
              <w:rPr>
                <w:rFonts w:hint="eastAsia" w:ascii="宋体" w:hAnsi="宋体" w:eastAsia="宋体" w:cs="宋体"/>
                <w:b/>
                <w:i w:val="0"/>
                <w:color w:val="000000"/>
                <w:kern w:val="0"/>
                <w:sz w:val="40"/>
                <w:szCs w:val="40"/>
                <w:u w:val="none"/>
                <w:lang w:val="en-US" w:eastAsia="zh-CN" w:bidi="ar"/>
              </w:rPr>
              <w:br w:type="textWrapping"/>
            </w:r>
            <w:r>
              <w:rPr>
                <w:rFonts w:hint="eastAsia" w:ascii="宋体" w:hAnsi="宋体" w:eastAsia="宋体" w:cs="宋体"/>
                <w:b/>
                <w:i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0" w:hRule="atLeast"/>
        </w:trPr>
        <w:tc>
          <w:tcPr>
            <w:tcW w:w="11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40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优化营商环境经费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0" w:hRule="atLeast"/>
        </w:trPr>
        <w:tc>
          <w:tcPr>
            <w:tcW w:w="11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293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鄂尔多斯空港物流园区管理委员会（部门）</w:t>
            </w:r>
          </w:p>
        </w:tc>
        <w:tc>
          <w:tcPr>
            <w:tcW w:w="15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92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鄂尔多斯空港物流园区企业发展服务中心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6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0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5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3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18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5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3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30.00 </w:t>
            </w:r>
          </w:p>
        </w:tc>
        <w:tc>
          <w:tcPr>
            <w:tcW w:w="18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5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3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30.00 </w:t>
            </w: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3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3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0" w:hRule="atLeast"/>
        </w:trPr>
        <w:tc>
          <w:tcPr>
            <w:tcW w:w="116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358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82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atLeast"/>
        </w:trPr>
        <w:tc>
          <w:tcPr>
            <w:tcW w:w="11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58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按照园区优化营商环境方案工作要求，通过开展营商环境政策宣传、项目前期手续办理咨询、为企找订单、组织政企座谈会等，为入园企业提供服务保障。</w:t>
            </w:r>
          </w:p>
        </w:tc>
        <w:tc>
          <w:tcPr>
            <w:tcW w:w="482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2024年，根据园区优化营商环境工作要求，为助力企业纾困发展，实际使用1.5万元组织工作人员开展为企找订单活动等相关工作，因在为企服务及营商环境工作中，主动服务意识不足，对经营主体的宣传和解惑不够到位，为企服务水平有待进一步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18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0" w:hRule="atLeast"/>
        </w:trPr>
        <w:tc>
          <w:tcPr>
            <w:tcW w:w="54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61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78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0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为企服务及优化营商环境工作完成率</w:t>
            </w:r>
          </w:p>
        </w:tc>
        <w:tc>
          <w:tcPr>
            <w:tcW w:w="53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5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5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90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w:t>
            </w:r>
          </w:p>
        </w:tc>
        <w:tc>
          <w:tcPr>
            <w:tcW w:w="7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3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6.12</w:t>
            </w:r>
          </w:p>
        </w:tc>
        <w:tc>
          <w:tcPr>
            <w:tcW w:w="1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结合当前工作开展实际情况，在为企服务及营商环境工作中，主动服务意识不足，对经营主体的宣传和解惑不够到位。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00" w:hRule="atLeast"/>
        </w:trPr>
        <w:tc>
          <w:tcPr>
            <w:tcW w:w="5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开展营商环境政策宣传等为企业服务活动次数</w:t>
            </w:r>
          </w:p>
        </w:tc>
        <w:tc>
          <w:tcPr>
            <w:tcW w:w="53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5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5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90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3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1.67</w:t>
            </w:r>
          </w:p>
        </w:tc>
        <w:tc>
          <w:tcPr>
            <w:tcW w:w="1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结合当前工作开展实际情况，在为企服务及营商环境工作中，主动服务意识不足，对经营主体的宣传和解惑不够到位，组织开展相关活动次数较少。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0" w:hRule="atLeast"/>
        </w:trPr>
        <w:tc>
          <w:tcPr>
            <w:tcW w:w="5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0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提升服务企业水平</w:t>
            </w:r>
          </w:p>
        </w:tc>
        <w:tc>
          <w:tcPr>
            <w:tcW w:w="53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5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5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显著提升</w:t>
            </w:r>
          </w:p>
        </w:tc>
        <w:tc>
          <w:tcPr>
            <w:tcW w:w="90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显著提升</w:t>
            </w:r>
          </w:p>
        </w:tc>
        <w:tc>
          <w:tcPr>
            <w:tcW w:w="7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结合当前工作开展实际情况，在为企服务及营商环境工作中，主动服务意识不足，对经营主体的宣传和解惑不够到位。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0" w:hRule="atLeast"/>
        </w:trPr>
        <w:tc>
          <w:tcPr>
            <w:tcW w:w="5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提高企业服务日常工作运转效率</w:t>
            </w:r>
          </w:p>
        </w:tc>
        <w:tc>
          <w:tcPr>
            <w:tcW w:w="53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5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5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90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64.98</w:t>
            </w:r>
          </w:p>
        </w:tc>
        <w:tc>
          <w:tcPr>
            <w:tcW w:w="7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3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3.32</w:t>
            </w:r>
          </w:p>
        </w:tc>
        <w:tc>
          <w:tcPr>
            <w:tcW w:w="1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结合当前工作开展实际情况，在为企服务及营商环境工作中，主动服务意识不足，对经营主体的宣传和解惑不够到位。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0" w:hRule="atLeast"/>
        </w:trPr>
        <w:tc>
          <w:tcPr>
            <w:tcW w:w="5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10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开展为企服务工作及时率</w:t>
            </w:r>
          </w:p>
        </w:tc>
        <w:tc>
          <w:tcPr>
            <w:tcW w:w="53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5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5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90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70.00</w:t>
            </w:r>
          </w:p>
        </w:tc>
        <w:tc>
          <w:tcPr>
            <w:tcW w:w="7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3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3.57</w:t>
            </w:r>
          </w:p>
        </w:tc>
        <w:tc>
          <w:tcPr>
            <w:tcW w:w="1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结合当前工作开展实际情况，在为企服务及营商环境工作中，主动服务意识不足，对经营主体的宣传和解惑不够到位。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trPr>
        <w:tc>
          <w:tcPr>
            <w:tcW w:w="5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开展为企找订单等优化营商环境活动时间</w:t>
            </w:r>
          </w:p>
        </w:tc>
        <w:tc>
          <w:tcPr>
            <w:tcW w:w="53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5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5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2024年1月-12月</w:t>
            </w:r>
          </w:p>
        </w:tc>
        <w:tc>
          <w:tcPr>
            <w:tcW w:w="90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2024年1月-12月</w:t>
            </w:r>
          </w:p>
        </w:tc>
        <w:tc>
          <w:tcPr>
            <w:tcW w:w="7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组织活动次数较少，未形成常态化机制。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5" w:hRule="atLeast"/>
        </w:trPr>
        <w:tc>
          <w:tcPr>
            <w:tcW w:w="5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10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开展营商环境工作经费预算控制率</w:t>
            </w:r>
          </w:p>
        </w:tc>
        <w:tc>
          <w:tcPr>
            <w:tcW w:w="53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5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65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90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7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3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开展营商环境工作费用</w:t>
            </w:r>
          </w:p>
        </w:tc>
        <w:tc>
          <w:tcPr>
            <w:tcW w:w="53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5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65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0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w:t>
            </w:r>
          </w:p>
        </w:tc>
        <w:tc>
          <w:tcPr>
            <w:tcW w:w="7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63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0" w:hRule="atLeast"/>
        </w:trPr>
        <w:tc>
          <w:tcPr>
            <w:tcW w:w="5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78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0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提高入园企业办事效率</w:t>
            </w:r>
          </w:p>
        </w:tc>
        <w:tc>
          <w:tcPr>
            <w:tcW w:w="53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5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5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90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62.20</w:t>
            </w:r>
          </w:p>
        </w:tc>
        <w:tc>
          <w:tcPr>
            <w:tcW w:w="7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3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12.69</w:t>
            </w:r>
          </w:p>
        </w:tc>
        <w:tc>
          <w:tcPr>
            <w:tcW w:w="1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结合当前工作开展实际情况，在为企服务及营商环境工作中，主动服务意识不足，对经营主体的宣传和解惑不够到位。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0" w:hRule="atLeast"/>
        </w:trPr>
        <w:tc>
          <w:tcPr>
            <w:tcW w:w="5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10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提升政务服务及企业服务质量</w:t>
            </w:r>
          </w:p>
        </w:tc>
        <w:tc>
          <w:tcPr>
            <w:tcW w:w="53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5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5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显著提升</w:t>
            </w:r>
          </w:p>
        </w:tc>
        <w:tc>
          <w:tcPr>
            <w:tcW w:w="90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显著提升</w:t>
            </w:r>
          </w:p>
        </w:tc>
        <w:tc>
          <w:tcPr>
            <w:tcW w:w="7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结合当前工作开展实际情况，在为企服务及营商环境工作中，主动服务意识不足，对经营主体的宣传和解惑不够到位。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75" w:hRule="atLeast"/>
        </w:trPr>
        <w:tc>
          <w:tcPr>
            <w:tcW w:w="5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78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0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提高入园企业满意度</w:t>
            </w:r>
          </w:p>
        </w:tc>
        <w:tc>
          <w:tcPr>
            <w:tcW w:w="53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5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5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90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65.00</w:t>
            </w:r>
          </w:p>
        </w:tc>
        <w:tc>
          <w:tcPr>
            <w:tcW w:w="71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3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6.63</w:t>
            </w:r>
          </w:p>
        </w:tc>
        <w:tc>
          <w:tcPr>
            <w:tcW w:w="18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结合当前工作开展实际情况，在为企服务及营商环境工作中，主动服务意识不足，对经营主体的宣传和解惑不够到位，企业获得感有待提升。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0" w:hRule="atLeast"/>
        </w:trPr>
        <w:tc>
          <w:tcPr>
            <w:tcW w:w="6360"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w:t>
            </w:r>
          </w:p>
        </w:tc>
        <w:tc>
          <w:tcPr>
            <w:tcW w:w="18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pStyle w:val="2"/>
        <w:ind w:firstLine="640" w:firstLineChars="200"/>
        <w:rPr>
          <w:rFonts w:hint="eastAsia" w:ascii="fang_song_gb2312" w:hAnsi="fang_song_gb2312" w:eastAsia="宋体" w:cs="fang_song_gb2312"/>
          <w:kern w:val="0"/>
          <w:sz w:val="27"/>
          <w:szCs w:val="27"/>
          <w:u w:val="none"/>
          <w:lang w:val="en-US" w:eastAsia="zh-CN"/>
        </w:rPr>
      </w:pPr>
      <w:r>
        <w:rPr>
          <w:rFonts w:hint="eastAsia" w:ascii="仿宋_GB2312" w:hAnsi="仿宋_GB2312" w:eastAsia="仿宋_GB2312" w:cs="仿宋_GB2312"/>
          <w:kern w:val="0"/>
          <w:sz w:val="32"/>
          <w:szCs w:val="32"/>
          <w:u w:val="none"/>
          <w:lang w:val="en-US" w:eastAsia="zh-CN" w:bidi="ar-SA"/>
        </w:rPr>
        <w:t>4.企业服务大厅运营维护经费项目自评综述：根据年初设定的绩效目标，项目自评得分60分。全年预算数为10万元，执行数为1.91万元，完成预算的19.1%。项目绩效目标完成情况：</w:t>
      </w:r>
      <w:r>
        <w:rPr>
          <w:rFonts w:hint="eastAsia" w:ascii="仿宋_GB2312" w:hAnsi="仿宋_GB2312" w:eastAsia="仿宋_GB2312" w:cs="仿宋_GB2312"/>
          <w:kern w:val="0"/>
          <w:sz w:val="32"/>
          <w:szCs w:val="32"/>
          <w:u w:val="none"/>
        </w:rPr>
        <w:t>按照年初预算安排计划，</w:t>
      </w:r>
      <w:r>
        <w:rPr>
          <w:rFonts w:hint="eastAsia" w:ascii="仿宋_GB2312" w:hAnsi="仿宋_GB2312" w:eastAsia="仿宋_GB2312" w:cs="仿宋_GB2312"/>
          <w:kern w:val="0"/>
          <w:sz w:val="32"/>
          <w:szCs w:val="32"/>
          <w:u w:val="none"/>
          <w:lang w:val="en-US" w:eastAsia="zh-CN" w:bidi="ar-SA"/>
        </w:rPr>
        <w:t>使用1.91万元用于工作人员日常办公用品采购、大厅电子显示屏维护维修工作，</w:t>
      </w:r>
      <w:r>
        <w:rPr>
          <w:rFonts w:hint="eastAsia" w:ascii="仿宋_GB2312" w:hAnsi="仿宋_GB2312" w:eastAsia="仿宋_GB2312" w:cs="仿宋_GB2312"/>
          <w:kern w:val="0"/>
          <w:sz w:val="32"/>
          <w:szCs w:val="32"/>
          <w:u w:val="none"/>
          <w:lang w:val="en-US" w:eastAsia="zh-CN"/>
        </w:rPr>
        <w:t>大厅维护维修质量达标率、维护维修次数、资金使用及时率等核心指标都达到预期比例，保障了大厅政务服务等工作顺利开展</w:t>
      </w:r>
      <w:r>
        <w:rPr>
          <w:rFonts w:hint="eastAsia" w:ascii="仿宋_GB2312" w:hAnsi="仿宋_GB2312" w:eastAsia="仿宋_GB2312" w:cs="仿宋_GB2312"/>
          <w:kern w:val="0"/>
          <w:sz w:val="32"/>
          <w:szCs w:val="32"/>
          <w:u w:val="none"/>
        </w:rPr>
        <w:t>。发现的主要问题：</w:t>
      </w:r>
      <w:r>
        <w:rPr>
          <w:rFonts w:hint="eastAsia" w:ascii="仿宋_GB2312" w:hAnsi="仿宋_GB2312" w:eastAsia="仿宋_GB2312" w:cs="仿宋_GB2312"/>
          <w:kern w:val="0"/>
          <w:sz w:val="32"/>
          <w:szCs w:val="32"/>
          <w:u w:val="none"/>
          <w:lang w:val="en-US" w:eastAsia="zh-CN"/>
        </w:rPr>
        <w:t>绩效目标设立不够明确、细化和量化，资金使用效益有待进一步提高。原因：</w:t>
      </w:r>
      <w:r>
        <w:rPr>
          <w:rFonts w:hint="eastAsia" w:ascii="仿宋_GB2312" w:hAnsi="仿宋_GB2312" w:eastAsia="仿宋_GB2312" w:cs="仿宋_GB2312"/>
          <w:kern w:val="0"/>
          <w:sz w:val="32"/>
          <w:szCs w:val="32"/>
          <w:u w:val="none"/>
          <w:lang w:val="en-US" w:eastAsia="zh-CN" w:bidi="ar-SA"/>
        </w:rPr>
        <w:t>因园区当前政务服务能力不足，下放园区审批权限较少，进驻大厅服务事项较少、办事人员及工作人员数量较少。</w:t>
      </w:r>
      <w:r>
        <w:rPr>
          <w:rFonts w:hint="eastAsia" w:ascii="仿宋_GB2312" w:hAnsi="仿宋_GB2312" w:eastAsia="仿宋_GB2312" w:cs="仿宋_GB2312"/>
          <w:kern w:val="0"/>
          <w:sz w:val="32"/>
          <w:szCs w:val="32"/>
          <w:u w:val="none"/>
        </w:rPr>
        <w:t>下一步改进措施：</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预算财务分析常态化，定期做好预算支出财务分析，做好部门整体支出预算评价工作。</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在确保项目高效运转的情况下，加强项目经费管理。</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加强单位预算编制工作，根据人员情况、业务开展需要，逐项做出预算计划，预算合理、不留缺口、不留空项。</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业务培训，提高评价水平，项目支出绩效自评工作是一项长期性工作，专业性强，工作量大，建议财政部门进一步加强开展部门领导及经办人员相关的政策、业务工作培训，组织开展部门之间、单位之间的经验交流，切实推进绩效评价工作的开展。</w:t>
      </w:r>
      <w:r>
        <w:rPr>
          <w:rFonts w:hint="eastAsia" w:ascii="仿宋_GB2312" w:hAnsi="仿宋_GB2312" w:eastAsia="仿宋_GB2312" w:cs="仿宋_GB2312"/>
          <w:kern w:val="0"/>
          <w:sz w:val="32"/>
          <w:szCs w:val="32"/>
          <w:u w:val="none"/>
          <w:lang w:val="en-US" w:eastAsia="zh-CN" w:bidi="ar-SA"/>
        </w:rPr>
        <w:t xml:space="preserve"> </w:t>
      </w:r>
    </w:p>
    <w:tbl>
      <w:tblPr>
        <w:tblStyle w:val="19"/>
        <w:tblW w:w="96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51"/>
        <w:gridCol w:w="634"/>
        <w:gridCol w:w="720"/>
        <w:gridCol w:w="837"/>
        <w:gridCol w:w="652"/>
        <w:gridCol w:w="604"/>
        <w:gridCol w:w="754"/>
        <w:gridCol w:w="839"/>
        <w:gridCol w:w="771"/>
        <w:gridCol w:w="569"/>
        <w:gridCol w:w="855"/>
        <w:gridCol w:w="18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60" w:hRule="atLeast"/>
        </w:trPr>
        <w:tc>
          <w:tcPr>
            <w:tcW w:w="966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项目支出绩效自评表</w:t>
            </w:r>
            <w:r>
              <w:rPr>
                <w:rFonts w:hint="eastAsia" w:ascii="宋体" w:hAnsi="宋体" w:eastAsia="宋体" w:cs="宋体"/>
                <w:b/>
                <w:i w:val="0"/>
                <w:color w:val="000000"/>
                <w:kern w:val="0"/>
                <w:sz w:val="40"/>
                <w:szCs w:val="40"/>
                <w:u w:val="none"/>
                <w:lang w:val="en-US" w:eastAsia="zh-CN" w:bidi="ar"/>
              </w:rPr>
              <w:br w:type="textWrapping"/>
            </w:r>
            <w:r>
              <w:rPr>
                <w:rFonts w:hint="eastAsia" w:ascii="宋体" w:hAnsi="宋体" w:eastAsia="宋体" w:cs="宋体"/>
                <w:b/>
                <w:i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0" w:hRule="atLeast"/>
        </w:trPr>
        <w:tc>
          <w:tcPr>
            <w:tcW w:w="11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47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企业服务大厅运营维护经费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0" w:hRule="atLeast"/>
        </w:trPr>
        <w:tc>
          <w:tcPr>
            <w:tcW w:w="11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281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鄂尔多斯空港物流园区管理委员会（部门）</w:t>
            </w:r>
          </w:p>
        </w:tc>
        <w:tc>
          <w:tcPr>
            <w:tcW w:w="15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40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鄂尔多斯空港物流园区企业发展服务中心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0" w:hRule="atLeast"/>
        </w:trPr>
        <w:tc>
          <w:tcPr>
            <w:tcW w:w="11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5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7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1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5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1.91</w:t>
            </w:r>
          </w:p>
        </w:tc>
        <w:tc>
          <w:tcPr>
            <w:tcW w:w="7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19.10 </w:t>
            </w:r>
          </w:p>
        </w:tc>
        <w:tc>
          <w:tcPr>
            <w:tcW w:w="1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5" w:hRule="atLeast"/>
        </w:trPr>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5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1.91</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19.10 </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0" w:hRule="atLeast"/>
        </w:trPr>
        <w:tc>
          <w:tcPr>
            <w:tcW w:w="11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356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90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060" w:hRule="atLeast"/>
        </w:trPr>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56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根据园区优化营商环境实施方案等工作要求，用于保障企业服务大厅工作人员日常办公运转、企业服务大厅电脑、电子显示屏等电子设备维护维修等，确保大厅日常运转。</w:t>
            </w:r>
          </w:p>
        </w:tc>
        <w:tc>
          <w:tcPr>
            <w:tcW w:w="490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我单位计划10万元对园区企业服务大厅进行标准化园区政务服务工作站打造、给工作人员提供日常办公保障、维修大厅显示屏等电子设备，实际使用1.91万元用于工作人员日常办公用品采购、大厅电子显示屏维护维修。因园区当前政务服务能力不足，下放园区审批权限较少，进驻大厅服务事项较少、办事人员及工作人员数量较少，结合当年政务服务工作情况，计划下一年度对大厅进行整体运营改造，当年度其他费用在保障大厅日常运转情况下无需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6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7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8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7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1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5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63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72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83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维护维修次数</w:t>
            </w:r>
          </w:p>
        </w:tc>
        <w:tc>
          <w:tcPr>
            <w:tcW w:w="6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7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7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6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5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购买办公用品次数</w:t>
            </w:r>
          </w:p>
        </w:tc>
        <w:tc>
          <w:tcPr>
            <w:tcW w:w="6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7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7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6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5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0" w:hRule="atLeast"/>
        </w:trPr>
        <w:tc>
          <w:tcPr>
            <w:tcW w:w="5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83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w:t>
            </w:r>
            <w:r>
              <w:rPr>
                <w:rFonts w:hint="eastAsia" w:ascii="宋体" w:hAnsi="宋体" w:cs="宋体"/>
                <w:i w:val="0"/>
                <w:color w:val="000000"/>
                <w:kern w:val="0"/>
                <w:sz w:val="18"/>
                <w:szCs w:val="18"/>
                <w:u w:val="none"/>
                <w:lang w:val="en-US" w:eastAsia="zh-CN" w:bidi="ar"/>
              </w:rPr>
              <w:t>升</w:t>
            </w:r>
            <w:r>
              <w:rPr>
                <w:rFonts w:hint="eastAsia" w:ascii="宋体" w:hAnsi="宋体" w:eastAsia="宋体" w:cs="宋体"/>
                <w:i w:val="0"/>
                <w:color w:val="000000"/>
                <w:kern w:val="0"/>
                <w:sz w:val="18"/>
                <w:szCs w:val="18"/>
                <w:u w:val="none"/>
                <w:lang w:val="en-US" w:eastAsia="zh-CN" w:bidi="ar"/>
              </w:rPr>
              <w:t>大厅日常工作运转率</w:t>
            </w:r>
          </w:p>
        </w:tc>
        <w:tc>
          <w:tcPr>
            <w:tcW w:w="6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7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8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w:t>
            </w:r>
          </w:p>
        </w:tc>
        <w:tc>
          <w:tcPr>
            <w:tcW w:w="7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6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5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w:t>
            </w:r>
          </w:p>
        </w:tc>
        <w:tc>
          <w:tcPr>
            <w:tcW w:w="1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因园区当前政务服务能力不足，下放园区审批权限较少，进驻大厅服务事项较少、办事人员及工作人员数量较少。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75" w:hRule="atLeast"/>
        </w:trPr>
        <w:tc>
          <w:tcPr>
            <w:tcW w:w="5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大厅维护维修质量达标率</w:t>
            </w:r>
          </w:p>
        </w:tc>
        <w:tc>
          <w:tcPr>
            <w:tcW w:w="6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7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8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84.20</w:t>
            </w:r>
          </w:p>
        </w:tc>
        <w:tc>
          <w:tcPr>
            <w:tcW w:w="7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6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5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6.01</w:t>
            </w:r>
          </w:p>
        </w:tc>
        <w:tc>
          <w:tcPr>
            <w:tcW w:w="1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因园区当前政务服务能力不足，下放园区审批权限较少，进驻大厅服务事项较少、办事人员及工作人员数量较少，导致大厅维护维修次数较少。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0" w:hRule="atLeast"/>
        </w:trPr>
        <w:tc>
          <w:tcPr>
            <w:tcW w:w="5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83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资金使用及时率</w:t>
            </w:r>
          </w:p>
        </w:tc>
        <w:tc>
          <w:tcPr>
            <w:tcW w:w="6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7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8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w:t>
            </w:r>
          </w:p>
        </w:tc>
        <w:tc>
          <w:tcPr>
            <w:tcW w:w="7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6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3.06</w:t>
            </w:r>
          </w:p>
        </w:tc>
        <w:tc>
          <w:tcPr>
            <w:tcW w:w="1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因园区当前政务服务能力不足，下放园区审批权限较少，进驻大厅服务事项较少、办事人员及工作人员数量较少，结合当年政务服务工作情况，计划下一年度对大厅进行整体运营改造，当年度其他费用在保障大厅日常运转情况下无需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5" w:hRule="atLeast"/>
        </w:trPr>
        <w:tc>
          <w:tcPr>
            <w:tcW w:w="5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大厅维护维修时间</w:t>
            </w:r>
          </w:p>
        </w:tc>
        <w:tc>
          <w:tcPr>
            <w:tcW w:w="6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60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2024年1月-12月</w:t>
            </w:r>
          </w:p>
        </w:tc>
        <w:tc>
          <w:tcPr>
            <w:tcW w:w="8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2024年1月-12月</w:t>
            </w:r>
          </w:p>
        </w:tc>
        <w:tc>
          <w:tcPr>
            <w:tcW w:w="7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6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根据工作实际情况，对大厅电子显示屏进行维修维护。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0" w:hRule="atLeast"/>
        </w:trPr>
        <w:tc>
          <w:tcPr>
            <w:tcW w:w="5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83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维护维修成本</w:t>
            </w:r>
          </w:p>
        </w:tc>
        <w:tc>
          <w:tcPr>
            <w:tcW w:w="6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60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7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1.91</w:t>
            </w:r>
          </w:p>
        </w:tc>
        <w:tc>
          <w:tcPr>
            <w:tcW w:w="7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56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0" w:hRule="atLeast"/>
        </w:trPr>
        <w:tc>
          <w:tcPr>
            <w:tcW w:w="5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保障大厅正常运转成本</w:t>
            </w:r>
          </w:p>
        </w:tc>
        <w:tc>
          <w:tcPr>
            <w:tcW w:w="6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60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7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1.91</w:t>
            </w:r>
          </w:p>
        </w:tc>
        <w:tc>
          <w:tcPr>
            <w:tcW w:w="7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56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0" w:hRule="atLeast"/>
        </w:trPr>
        <w:tc>
          <w:tcPr>
            <w:tcW w:w="5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72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83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bookmarkStart w:id="2" w:name="OLE_LINK2"/>
            <w:r>
              <w:rPr>
                <w:rFonts w:hint="eastAsia" w:ascii="宋体" w:hAnsi="宋体" w:eastAsia="宋体" w:cs="宋体"/>
                <w:i w:val="0"/>
                <w:color w:val="000000"/>
                <w:kern w:val="0"/>
                <w:sz w:val="18"/>
                <w:szCs w:val="18"/>
                <w:u w:val="none"/>
                <w:lang w:val="en-US" w:eastAsia="zh-CN" w:bidi="ar"/>
              </w:rPr>
              <w:t>保障大厅政务服务等工作顺利开展</w:t>
            </w:r>
            <w:bookmarkEnd w:id="2"/>
          </w:p>
        </w:tc>
        <w:tc>
          <w:tcPr>
            <w:tcW w:w="6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60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基本保障</w:t>
            </w:r>
          </w:p>
        </w:tc>
        <w:tc>
          <w:tcPr>
            <w:tcW w:w="8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基本保障</w:t>
            </w:r>
          </w:p>
        </w:tc>
        <w:tc>
          <w:tcPr>
            <w:tcW w:w="7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6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85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因园区当前政务服务能力不足，下放园区审批权限较少，进驻大厅服务事项较少、办事人员及工作人员数量较少。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0" w:hRule="atLeast"/>
        </w:trPr>
        <w:tc>
          <w:tcPr>
            <w:tcW w:w="5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83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持续为入园企业及群众提供方便办事的公共场所平台</w:t>
            </w:r>
          </w:p>
        </w:tc>
        <w:tc>
          <w:tcPr>
            <w:tcW w:w="6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60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优良中低差</w:t>
            </w:r>
          </w:p>
        </w:tc>
        <w:tc>
          <w:tcPr>
            <w:tcW w:w="8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w:t>
            </w:r>
          </w:p>
        </w:tc>
        <w:tc>
          <w:tcPr>
            <w:tcW w:w="7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6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5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因园区当前政务服务能力不足，下放园区审批权限较少，进驻大厅服务事项较少、办事人员及工作人员数量较少。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0" w:hRule="atLeast"/>
        </w:trPr>
        <w:tc>
          <w:tcPr>
            <w:tcW w:w="5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72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83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提高进入大厅的办事人员的满意度</w:t>
            </w:r>
          </w:p>
        </w:tc>
        <w:tc>
          <w:tcPr>
            <w:tcW w:w="6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7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83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w:t>
            </w:r>
          </w:p>
        </w:tc>
        <w:tc>
          <w:tcPr>
            <w:tcW w:w="7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6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5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6.12</w:t>
            </w:r>
          </w:p>
        </w:tc>
        <w:tc>
          <w:tcPr>
            <w:tcW w:w="1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因园区当前政务服务能力不足，下放园区审批权限较少，进驻大厅服务事项较少、办事人员及工作人员数量较少。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0" w:hRule="atLeast"/>
        </w:trPr>
        <w:tc>
          <w:tcPr>
            <w:tcW w:w="6362"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w:t>
            </w:r>
          </w:p>
        </w:tc>
        <w:tc>
          <w:tcPr>
            <w:tcW w:w="1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widowControl/>
        <w:spacing w:before="240" w:after="240"/>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（三）单位项目绩效评价结果。</w:t>
      </w:r>
    </w:p>
    <w:p>
      <w:pPr>
        <w:widowControl/>
        <w:spacing w:before="240" w:after="240"/>
        <w:ind w:firstLine="640" w:firstLineChars="200"/>
        <w:rPr>
          <w:rFonts w:ascii="fang_zheng_xiao_biao_song_ti" w:hAnsi="fang_zheng_xiao_biao_song_ti" w:eastAsia="fang_zheng_xiao_biao_song_ti" w:cs="fang_zheng_xiao_biao_song_ti"/>
          <w:kern w:val="0"/>
          <w:sz w:val="36"/>
          <w:szCs w:val="36"/>
        </w:rPr>
      </w:pPr>
      <w:r>
        <w:rPr>
          <w:rFonts w:hint="eastAsia" w:ascii="仿宋_GB2312" w:hAnsi="仿宋_GB2312" w:eastAsia="仿宋_GB2312" w:cs="仿宋_GB2312"/>
          <w:b w:val="0"/>
          <w:bCs w:val="0"/>
          <w:kern w:val="0"/>
          <w:sz w:val="32"/>
          <w:szCs w:val="32"/>
          <w:lang w:val="en-US" w:eastAsia="zh-CN" w:bidi="ar-SA"/>
        </w:rPr>
        <w:t>本单位本年没有重点绩效评价工作。</w:t>
      </w:r>
    </w:p>
    <w:bookmarkEnd w:id="0"/>
    <w:p>
      <w:pPr>
        <w:pStyle w:val="4"/>
        <w:keepNext w:val="0"/>
        <w:keepLines w:val="0"/>
        <w:pageBreakBefore w:val="0"/>
        <w:widowControl/>
        <w:kinsoku/>
        <w:wordWrap/>
        <w:overflowPunct/>
        <w:topLinePunct w:val="0"/>
        <w:autoSpaceDE/>
        <w:autoSpaceDN/>
        <w:bidi w:val="0"/>
        <w:adjustRightInd/>
        <w:snapToGrid/>
        <w:spacing w:before="299" w:after="299" w:line="520" w:lineRule="exact"/>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第三部分  名词解释</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一、财政拨款收入：</w:t>
      </w:r>
      <w:r>
        <w:rPr>
          <w:rFonts w:hint="eastAsia" w:ascii="仿宋_GB2312" w:hAnsi="仿宋_GB2312" w:eastAsia="仿宋_GB2312" w:cs="仿宋_GB2312"/>
          <w:b w:val="0"/>
          <w:bCs w:val="0"/>
          <w:kern w:val="0"/>
          <w:sz w:val="32"/>
          <w:szCs w:val="32"/>
          <w:lang w:val="en-US" w:eastAsia="zh-CN" w:bidi="ar-SA"/>
        </w:rPr>
        <w:t>从同级财政部门取得的各类财政拨款，包括一般公共预算财政拨款、政府性基金预算财政拨款、国有资本经营预算财政拨款。</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二、上级补助收入：</w:t>
      </w:r>
      <w:r>
        <w:rPr>
          <w:rFonts w:hint="eastAsia" w:ascii="仿宋_GB2312" w:hAnsi="仿宋_GB2312" w:eastAsia="仿宋_GB2312" w:cs="仿宋_GB2312"/>
          <w:b w:val="0"/>
          <w:bCs w:val="0"/>
          <w:kern w:val="0"/>
          <w:sz w:val="32"/>
          <w:szCs w:val="32"/>
          <w:lang w:val="en-US" w:eastAsia="zh-CN" w:bidi="ar-SA"/>
        </w:rPr>
        <w:t>指事业单位从主管部门和上级单位取得的非财政补助收入。</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w:t>
      </w:r>
      <w:r>
        <w:rPr>
          <w:rFonts w:hint="eastAsia" w:ascii="仿宋_GB2312" w:hAnsi="仿宋_GB2312" w:eastAsia="仿宋_GB2312" w:cs="仿宋_GB2312"/>
          <w:b/>
          <w:bCs/>
          <w:kern w:val="0"/>
          <w:sz w:val="32"/>
          <w:szCs w:val="32"/>
        </w:rPr>
        <w:t xml:space="preserve"> 三、财政专户管理教育收费：</w:t>
      </w:r>
      <w:r>
        <w:rPr>
          <w:rFonts w:hint="eastAsia" w:ascii="仿宋_GB2312" w:hAnsi="仿宋_GB2312" w:eastAsia="仿宋_GB2312" w:cs="仿宋_GB2312"/>
          <w:b w:val="0"/>
          <w:bCs w:val="0"/>
          <w:kern w:val="0"/>
          <w:sz w:val="32"/>
          <w:szCs w:val="32"/>
          <w:lang w:val="en-US" w:eastAsia="zh-CN" w:bidi="ar-SA"/>
        </w:rPr>
        <w:t>指缴入财政专户、实行专项管理的高中以上学费、住宿费、高校委托培养费、函大、电大、夜大及短训班培训费等教育收费。</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四、事业收入：</w:t>
      </w:r>
      <w:r>
        <w:rPr>
          <w:rFonts w:hint="eastAsia" w:ascii="仿宋_GB2312" w:hAnsi="仿宋_GB2312" w:eastAsia="仿宋_GB2312" w:cs="仿宋_GB2312"/>
          <w:b w:val="0"/>
          <w:bCs w:val="0"/>
          <w:kern w:val="0"/>
          <w:sz w:val="32"/>
          <w:szCs w:val="32"/>
          <w:lang w:val="en-US" w:eastAsia="zh-CN" w:bidi="ar-SA"/>
        </w:rPr>
        <w:t>指事业单位开展专业业务活动及其辅助活动取得的收入。</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五、经营收入：</w:t>
      </w:r>
      <w:r>
        <w:rPr>
          <w:rFonts w:hint="eastAsia" w:ascii="仿宋_GB2312" w:hAnsi="仿宋_GB2312" w:eastAsia="仿宋_GB2312" w:cs="仿宋_GB2312"/>
          <w:b w:val="0"/>
          <w:bCs w:val="0"/>
          <w:kern w:val="0"/>
          <w:sz w:val="32"/>
          <w:szCs w:val="32"/>
          <w:lang w:val="en-US" w:eastAsia="zh-CN" w:bidi="ar-SA"/>
        </w:rPr>
        <w:t>指事业单位在专业业务活动及其辅助活动之外开展非独立核算经营活动取得的收入。</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六、附属单位上缴收入：</w:t>
      </w:r>
      <w:r>
        <w:rPr>
          <w:rFonts w:hint="eastAsia" w:ascii="仿宋_GB2312" w:hAnsi="仿宋_GB2312" w:eastAsia="仿宋_GB2312" w:cs="仿宋_GB2312"/>
          <w:b w:val="0"/>
          <w:bCs w:val="0"/>
          <w:kern w:val="0"/>
          <w:sz w:val="32"/>
          <w:szCs w:val="32"/>
          <w:lang w:val="en-US" w:eastAsia="zh-CN" w:bidi="ar-SA"/>
        </w:rPr>
        <w:t>指事业单位取得附属独立核算单位按照有关规定上缴的收入。</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七、其他收入：</w:t>
      </w:r>
      <w:r>
        <w:rPr>
          <w:rFonts w:hint="eastAsia" w:ascii="仿宋_GB2312" w:hAnsi="仿宋_GB2312" w:eastAsia="仿宋_GB2312" w:cs="仿宋_GB2312"/>
          <w:b w:val="0"/>
          <w:bCs w:val="0"/>
          <w:kern w:val="0"/>
          <w:sz w:val="32"/>
          <w:szCs w:val="32"/>
          <w:lang w:val="en-US" w:eastAsia="zh-CN" w:bidi="ar-SA"/>
        </w:rPr>
        <w:t>取得的除上述“财政拨款收入”、“上级补助收入”、“事业收入”、“经营收入”、“附属单位上缴收入”等以外的各项收入。</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八、使用非财政拨款结余和专用结余：</w:t>
      </w:r>
      <w:r>
        <w:rPr>
          <w:rFonts w:hint="eastAsia" w:ascii="仿宋_GB2312" w:hAnsi="仿宋_GB2312" w:eastAsia="仿宋_GB2312" w:cs="仿宋_GB2312"/>
          <w:b w:val="0"/>
          <w:bCs w:val="0"/>
          <w:kern w:val="0"/>
          <w:sz w:val="32"/>
          <w:szCs w:val="32"/>
          <w:lang w:val="en-US" w:eastAsia="zh-CN" w:bidi="ar-SA"/>
        </w:rPr>
        <w:t>指事业单位按照预算管理要求使用非财政拨款结余和专用结余弥补当年收支差额的数额。</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九、年初结转和结余：</w:t>
      </w:r>
      <w:r>
        <w:rPr>
          <w:rFonts w:hint="eastAsia" w:ascii="仿宋_GB2312" w:hAnsi="仿宋_GB2312" w:eastAsia="仿宋_GB2312" w:cs="仿宋_GB2312"/>
          <w:b w:val="0"/>
          <w:bCs w:val="0"/>
          <w:kern w:val="0"/>
          <w:sz w:val="32"/>
          <w:szCs w:val="32"/>
          <w:lang w:val="en-US" w:eastAsia="zh-CN" w:bidi="ar-SA"/>
        </w:rPr>
        <w:t>指单位上年结转本年使用的基本支出结转、项目支出结转和结余、经营结余。</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十、结余分配：</w:t>
      </w:r>
      <w:r>
        <w:rPr>
          <w:rFonts w:hint="eastAsia" w:ascii="仿宋_GB2312" w:hAnsi="仿宋_GB2312" w:eastAsia="仿宋_GB2312" w:cs="仿宋_GB2312"/>
          <w:b w:val="0"/>
          <w:bCs w:val="0"/>
          <w:kern w:val="0"/>
          <w:sz w:val="32"/>
          <w:szCs w:val="32"/>
          <w:lang w:val="en-US" w:eastAsia="zh-CN" w:bidi="ar-SA"/>
        </w:rPr>
        <w:t>指事业单位按规定缴纳企业所得税以及从非财政拨款结余或经营结余中提取各类结余的情况。</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十一、年末结转和结余资金：</w:t>
      </w:r>
      <w:r>
        <w:rPr>
          <w:rFonts w:hint="eastAsia" w:ascii="仿宋_GB2312" w:hAnsi="仿宋_GB2312" w:eastAsia="仿宋_GB2312" w:cs="仿宋_GB2312"/>
          <w:b w:val="0"/>
          <w:bCs w:val="0"/>
          <w:kern w:val="0"/>
          <w:sz w:val="32"/>
          <w:szCs w:val="32"/>
          <w:lang w:val="en-US" w:eastAsia="zh-CN" w:bidi="ar-SA"/>
        </w:rPr>
        <w:t>指单位结转下年的基本支出结转、项目支出结转和结余、经营结余。</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十二、基本支出：</w:t>
      </w:r>
      <w:r>
        <w:rPr>
          <w:rFonts w:hint="eastAsia" w:ascii="仿宋_GB2312" w:hAnsi="仿宋_GB2312" w:eastAsia="仿宋_GB2312" w:cs="仿宋_GB2312"/>
          <w:b w:val="0"/>
          <w:bCs w:val="0"/>
          <w:kern w:val="0"/>
          <w:sz w:val="32"/>
          <w:szCs w:val="32"/>
          <w:lang w:val="en-US" w:eastAsia="zh-CN" w:bidi="ar-SA"/>
        </w:rPr>
        <w:t>指为保障机构正常运转、完成日常工作任务所发生的支出，包括人员经费和公用经费。</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十三、项目支出：</w:t>
      </w:r>
      <w:r>
        <w:rPr>
          <w:rFonts w:hint="eastAsia" w:ascii="仿宋_GB2312" w:hAnsi="仿宋_GB2312" w:eastAsia="仿宋_GB2312" w:cs="仿宋_GB2312"/>
          <w:b w:val="0"/>
          <w:bCs w:val="0"/>
          <w:kern w:val="0"/>
          <w:sz w:val="32"/>
          <w:szCs w:val="32"/>
          <w:lang w:val="en-US" w:eastAsia="zh-CN" w:bidi="ar-SA"/>
        </w:rPr>
        <w:t>指在为完成特定的工作任务和事业发展目标所发生的支出。</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十四、上缴上级支出：</w:t>
      </w:r>
      <w:r>
        <w:rPr>
          <w:rFonts w:hint="eastAsia" w:ascii="仿宋_GB2312" w:hAnsi="仿宋_GB2312" w:eastAsia="仿宋_GB2312" w:cs="仿宋_GB2312"/>
          <w:b w:val="0"/>
          <w:bCs w:val="0"/>
          <w:kern w:val="0"/>
          <w:sz w:val="32"/>
          <w:szCs w:val="32"/>
          <w:lang w:val="en-US" w:eastAsia="zh-CN" w:bidi="ar-SA"/>
        </w:rPr>
        <w:t>指事业单位按照财政部门和主管部门的规定上缴上级单位的支出。</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十五、经营支出：</w:t>
      </w:r>
      <w:r>
        <w:rPr>
          <w:rFonts w:hint="eastAsia" w:ascii="仿宋_GB2312" w:hAnsi="仿宋_GB2312" w:eastAsia="仿宋_GB2312" w:cs="仿宋_GB2312"/>
          <w:b w:val="0"/>
          <w:bCs w:val="0"/>
          <w:kern w:val="0"/>
          <w:sz w:val="32"/>
          <w:szCs w:val="32"/>
          <w:lang w:val="en-US" w:eastAsia="zh-CN" w:bidi="ar-SA"/>
        </w:rPr>
        <w:t>指事业单位在专业业务活动及其辅助活动之外开展非独立核算经营活动发生的支出。</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w:t>
      </w:r>
      <w:r>
        <w:rPr>
          <w:rFonts w:hint="eastAsia" w:ascii="仿宋_GB2312" w:hAnsi="仿宋_GB2312" w:eastAsia="仿宋_GB2312" w:cs="仿宋_GB2312"/>
          <w:b/>
          <w:bCs/>
          <w:kern w:val="0"/>
          <w:sz w:val="32"/>
          <w:szCs w:val="32"/>
        </w:rPr>
        <w:t xml:space="preserve"> 十六、对附属单位补助支出：</w:t>
      </w:r>
      <w:r>
        <w:rPr>
          <w:rFonts w:hint="eastAsia" w:ascii="仿宋_GB2312" w:hAnsi="仿宋_GB2312" w:eastAsia="仿宋_GB2312" w:cs="仿宋_GB2312"/>
          <w:b w:val="0"/>
          <w:bCs w:val="0"/>
          <w:kern w:val="0"/>
          <w:sz w:val="32"/>
          <w:szCs w:val="32"/>
          <w:lang w:val="en-US" w:eastAsia="zh-CN" w:bidi="ar-SA"/>
        </w:rPr>
        <w:t>指事业单位用财政拨款收入之外的收入对附属单位补助发生的支出。</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十七、“三公”经费：</w:t>
      </w:r>
      <w:r>
        <w:rPr>
          <w:rFonts w:hint="eastAsia" w:ascii="仿宋_GB2312" w:hAnsi="仿宋_GB2312" w:eastAsia="仿宋_GB2312" w:cs="仿宋_GB2312"/>
          <w:b w:val="0"/>
          <w:bCs w:val="0"/>
          <w:kern w:val="0"/>
          <w:sz w:val="32"/>
          <w:szCs w:val="32"/>
          <w:lang w:val="en-US" w:eastAsia="zh-CN" w:bidi="ar-SA"/>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pPr>
        <w:widowControl/>
        <w:spacing w:before="240" w:after="240"/>
        <w:ind w:firstLine="481"/>
        <w:jc w:val="left"/>
      </w:pPr>
      <w:r>
        <w:rPr>
          <w:rFonts w:hint="eastAsia" w:ascii="仿宋_GB2312" w:hAnsi="仿宋_GB2312" w:eastAsia="仿宋_GB2312" w:cs="仿宋_GB2312"/>
          <w:b/>
          <w:bCs/>
          <w:kern w:val="0"/>
          <w:sz w:val="32"/>
          <w:szCs w:val="32"/>
        </w:rPr>
        <w:t>十八、机构运行经费：</w:t>
      </w:r>
      <w:r>
        <w:rPr>
          <w:rFonts w:hint="eastAsia" w:ascii="仿宋_GB2312" w:hAnsi="仿宋_GB2312" w:eastAsia="仿宋_GB2312" w:cs="仿宋_GB2312"/>
          <w:b w:val="0"/>
          <w:bCs w:val="0"/>
          <w:kern w:val="0"/>
          <w:sz w:val="32"/>
          <w:szCs w:val="32"/>
          <w:lang w:val="en-US" w:eastAsia="zh-CN" w:bidi="ar-SA"/>
        </w:rPr>
        <w:t>指部门（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pStyle w:val="4"/>
        <w:keepNext w:val="0"/>
        <w:keepLines w:val="0"/>
        <w:pageBreakBefore w:val="0"/>
        <w:widowControl/>
        <w:kinsoku/>
        <w:wordWrap/>
        <w:overflowPunct/>
        <w:topLinePunct w:val="0"/>
        <w:autoSpaceDE/>
        <w:autoSpaceDN/>
        <w:bidi w:val="0"/>
        <w:adjustRightInd/>
        <w:snapToGrid/>
        <w:spacing w:before="299" w:after="299" w:line="520" w:lineRule="exact"/>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第四部分 决算公开联系方式及信息反馈渠道</w:t>
      </w:r>
    </w:p>
    <w:p>
      <w:pPr>
        <w:widowControl/>
        <w:spacing w:before="240" w:after="240"/>
        <w:ind w:firstLine="481"/>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kern w:val="0"/>
          <w:sz w:val="27"/>
          <w:szCs w:val="27"/>
        </w:rPr>
        <w:t xml:space="preserve">    </w:t>
      </w:r>
      <w:r>
        <w:rPr>
          <w:rFonts w:hint="eastAsia" w:ascii="仿宋_GB2312" w:hAnsi="仿宋_GB2312" w:eastAsia="仿宋_GB2312" w:cs="仿宋_GB2312"/>
          <w:b w:val="0"/>
          <w:bCs w:val="0"/>
          <w:kern w:val="0"/>
          <w:sz w:val="32"/>
          <w:szCs w:val="32"/>
          <w:lang w:val="en-US" w:eastAsia="zh-CN" w:bidi="ar-SA"/>
        </w:rPr>
        <w:t>本单位决算公开信息反馈和联系方式：</w:t>
      </w:r>
    </w:p>
    <w:p>
      <w:pPr>
        <w:widowControl/>
        <w:spacing w:before="240" w:after="240"/>
        <w:ind w:firstLine="481"/>
        <w:jc w:val="left"/>
        <w:rPr>
          <w:rFonts w:ascii="Times New Roman" w:hAnsi="Times New Roman" w:eastAsia="Times New Roman" w:cs="Times New Roman"/>
          <w:kern w:val="0"/>
          <w:sz w:val="24"/>
        </w:rPr>
      </w:pPr>
      <w:r>
        <w:rPr>
          <w:rFonts w:hint="eastAsia" w:ascii="仿宋_GB2312" w:hAnsi="仿宋_GB2312" w:eastAsia="仿宋_GB2312" w:cs="仿宋_GB2312"/>
          <w:b w:val="0"/>
          <w:bCs w:val="0"/>
          <w:kern w:val="0"/>
          <w:sz w:val="32"/>
          <w:szCs w:val="32"/>
          <w:lang w:val="en-US" w:eastAsia="zh-CN" w:bidi="ar-SA"/>
        </w:rPr>
        <w:t>    联系人：张宏斌           联系电话：18647700281 </w:t>
      </w:r>
    </w:p>
    <w:p>
      <w:pPr>
        <w:pStyle w:val="4"/>
        <w:keepNext w:val="0"/>
        <w:keepLines w:val="0"/>
        <w:pageBreakBefore w:val="0"/>
        <w:widowControl/>
        <w:kinsoku/>
        <w:wordWrap/>
        <w:overflowPunct/>
        <w:topLinePunct w:val="0"/>
        <w:autoSpaceDE/>
        <w:autoSpaceDN/>
        <w:bidi w:val="0"/>
        <w:adjustRightInd/>
        <w:snapToGrid/>
        <w:spacing w:before="299" w:after="299" w:line="520" w:lineRule="exact"/>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第五部分 部门决算表</w:t>
      </w:r>
    </w:p>
    <w:p>
      <w:pPr>
        <w:widowControl/>
        <w:spacing w:before="240" w:after="240"/>
        <w:jc w:val="center"/>
        <w:rPr>
          <w:rFonts w:ascii="Times New Roman" w:hAnsi="Times New Roman" w:eastAsia="Times New Roman" w:cs="Times New Roman"/>
          <w:kern w:val="0"/>
          <w:sz w:val="24"/>
        </w:rPr>
      </w:pPr>
    </w:p>
    <w:p>
      <w:pPr>
        <w:widowControl/>
        <w:spacing w:before="240" w:after="240"/>
        <w:jc w:val="left"/>
        <w:rPr>
          <w:rFonts w:hint="eastAsia"/>
          <w:b w:val="0"/>
          <w:bCs w:val="0"/>
          <w:lang w:val="en-US" w:eastAsia="zh-CN"/>
        </w:rPr>
      </w:pPr>
      <w:r>
        <w:rPr>
          <w:rFonts w:hint="eastAsia" w:ascii="仿宋_GB2312" w:hAnsi="仿宋_GB2312" w:eastAsia="仿宋_GB2312" w:cs="仿宋_GB2312"/>
          <w:b w:val="0"/>
          <w:bCs w:val="0"/>
          <w:kern w:val="0"/>
          <w:sz w:val="32"/>
          <w:szCs w:val="32"/>
          <w:lang w:val="en-US" w:eastAsia="zh-CN" w:bidi="ar-SA"/>
        </w:rPr>
        <w:t>详见附件</w:t>
      </w:r>
    </w:p>
    <w:p>
      <w:pPr>
        <w:pStyle w:val="4"/>
        <w:keepNext w:val="0"/>
        <w:keepLines w:val="0"/>
        <w:pageBreakBefore w:val="0"/>
        <w:widowControl/>
        <w:kinsoku/>
        <w:wordWrap/>
        <w:overflowPunct/>
        <w:topLinePunct w:val="0"/>
        <w:autoSpaceDE/>
        <w:autoSpaceDN/>
        <w:bidi w:val="0"/>
        <w:adjustRightInd/>
        <w:snapToGrid/>
        <w:spacing w:before="299" w:after="299" w:line="520" w:lineRule="exact"/>
        <w:jc w:val="center"/>
        <w:rPr>
          <w:rFonts w:hint="eastAsia" w:ascii="方正小标宋简体" w:hAnsi="方正小标宋简体" w:eastAsia="方正小标宋简体" w:cs="方正小标宋简体"/>
          <w:b w:val="0"/>
          <w:bCs w:val="0"/>
          <w:kern w:val="0"/>
          <w:sz w:val="44"/>
          <w:szCs w:val="44"/>
        </w:rPr>
      </w:pPr>
      <w:bookmarkStart w:id="3" w:name="_GoBack"/>
      <w:bookmarkEnd w:id="3"/>
    </w:p>
    <w:p>
      <w:pPr>
        <w:pStyle w:val="4"/>
        <w:keepNext w:val="0"/>
        <w:keepLines w:val="0"/>
        <w:pageBreakBefore w:val="0"/>
        <w:widowControl/>
        <w:kinsoku/>
        <w:wordWrap/>
        <w:overflowPunct/>
        <w:topLinePunct w:val="0"/>
        <w:autoSpaceDE/>
        <w:autoSpaceDN/>
        <w:bidi w:val="0"/>
        <w:adjustRightInd/>
        <w:snapToGrid/>
        <w:spacing w:before="299" w:after="299" w:line="520" w:lineRule="exact"/>
        <w:jc w:val="center"/>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方正小标宋简体"/>
          <w:b w:val="0"/>
          <w:bCs w:val="0"/>
          <w:kern w:val="0"/>
          <w:sz w:val="44"/>
          <w:szCs w:val="44"/>
        </w:rPr>
        <w:t>第</w:t>
      </w:r>
      <w:r>
        <w:rPr>
          <w:rFonts w:hint="eastAsia" w:ascii="方正小标宋简体" w:hAnsi="方正小标宋简体" w:eastAsia="方正小标宋简体" w:cs="方正小标宋简体"/>
          <w:b w:val="0"/>
          <w:bCs w:val="0"/>
          <w:kern w:val="0"/>
          <w:sz w:val="44"/>
          <w:szCs w:val="44"/>
          <w:lang w:val="en-US" w:eastAsia="zh-CN"/>
        </w:rPr>
        <w:t>六</w:t>
      </w:r>
      <w:r>
        <w:rPr>
          <w:rFonts w:hint="eastAsia" w:ascii="方正小标宋简体" w:hAnsi="方正小标宋简体" w:eastAsia="方正小标宋简体" w:cs="方正小标宋简体"/>
          <w:b w:val="0"/>
          <w:bCs w:val="0"/>
          <w:kern w:val="0"/>
          <w:sz w:val="44"/>
          <w:szCs w:val="44"/>
        </w:rPr>
        <w:t xml:space="preserve">部分 </w:t>
      </w:r>
      <w:r>
        <w:rPr>
          <w:rFonts w:hint="eastAsia" w:ascii="方正小标宋简体" w:hAnsi="方正小标宋简体" w:eastAsia="方正小标宋简体" w:cs="方正小标宋简体"/>
          <w:b w:val="0"/>
          <w:bCs w:val="0"/>
          <w:kern w:val="0"/>
          <w:sz w:val="44"/>
          <w:szCs w:val="44"/>
          <w:lang w:val="en-US" w:eastAsia="zh-CN"/>
        </w:rPr>
        <w:t>附件</w:t>
      </w:r>
    </w:p>
    <w:p>
      <w:pPr>
        <w:widowControl/>
        <w:spacing w:before="240" w:after="240"/>
        <w:jc w:val="left"/>
        <w:rPr>
          <w:rFonts w:hint="eastAsia"/>
          <w:b w:val="0"/>
          <w:bCs w:val="0"/>
          <w:lang w:val="en-US" w:eastAsia="zh-CN"/>
        </w:rPr>
      </w:pPr>
      <w:r>
        <w:rPr>
          <w:rFonts w:hint="eastAsia" w:ascii="仿宋_GB2312" w:hAnsi="仿宋_GB2312" w:eastAsia="仿宋_GB2312" w:cs="仿宋_GB2312"/>
          <w:b w:val="0"/>
          <w:bCs w:val="0"/>
          <w:kern w:val="0"/>
          <w:sz w:val="32"/>
          <w:szCs w:val="32"/>
          <w:lang w:val="en-US" w:eastAsia="zh-CN" w:bidi="ar-SA"/>
        </w:rPr>
        <w:t>详见附件</w:t>
      </w:r>
    </w:p>
    <w:p>
      <w:pPr>
        <w:rPr>
          <w:rFonts w:hint="default"/>
          <w:lang w:val="en-US" w:eastAsia="zh-CN"/>
        </w:rPr>
      </w:pPr>
      <w:r>
        <w:rPr>
          <w:rFonts w:hint="eastAsia" w:ascii="仿宋_GB2312" w:hAnsi="仿宋_GB2312" w:eastAsia="仿宋_GB2312" w:cs="仿宋_GB2312"/>
          <w:b w:val="0"/>
          <w:bCs w:val="0"/>
          <w:kern w:val="0"/>
          <w:sz w:val="32"/>
          <w:szCs w:val="32"/>
          <w:lang w:val="en-US" w:eastAsia="zh-CN" w:bidi="ar-SA"/>
        </w:rPr>
        <w:t>备注：按决算公开编制要求，决算公开报告及公开表的计数单位为万元，而2024年决算编制是以元为计数单位，因此小数点后第二位存在四舍五入的差异。</w:t>
      </w:r>
    </w:p>
    <w:p>
      <w:pPr>
        <w:widowControl/>
        <w:spacing w:before="240" w:after="240"/>
        <w:jc w:val="left"/>
      </w:pPr>
    </w:p>
    <w:sectPr>
      <w:footerReference r:id="rId4"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ai_ti_gb2312">
    <w:altName w:val="Segoe Print"/>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fang_song_gb2312">
    <w:altName w:val="Segoe Print"/>
    <w:panose1 w:val="00000000000000000000"/>
    <w:charset w:val="00"/>
    <w:family w:val="auto"/>
    <w:pitch w:val="default"/>
    <w:sig w:usb0="00000000" w:usb1="00000000" w:usb2="00000000" w:usb3="00000000" w:csb0="00000000" w:csb1="00000000"/>
  </w:font>
  <w:font w:name="fang_zheng_xiao_biao_song_t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rPr>
        <w:lang w:val="zh-CN"/>
      </w:rPr>
      <w:t>24</w:t>
    </w:r>
    <w:r>
      <w:rPr>
        <w:lang w:val="zh-CN"/>
      </w:rPr>
      <w:fldChar w:fldCharType="end"/>
    </w:r>
  </w:p>
  <w:p>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5NzIwYjI4YWJmMTY5YWQ2MTY4MGE2N2MxYzhjYWMifQ=="/>
    <w:docVar w:name="KSO_WPS_MARK_KEY" w:val="afd9bab7-5887-4a60-b1d5-ee1d25d7c6d8"/>
  </w:docVars>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96390"/>
    <w:rsid w:val="00E219E7"/>
    <w:rsid w:val="00E60D6A"/>
    <w:rsid w:val="00E73321"/>
    <w:rsid w:val="00E77EC0"/>
    <w:rsid w:val="00E914C1"/>
    <w:rsid w:val="00E97C37"/>
    <w:rsid w:val="00EE533B"/>
    <w:rsid w:val="00F04882"/>
    <w:rsid w:val="00F63327"/>
    <w:rsid w:val="00F80A29"/>
    <w:rsid w:val="00FA7CA5"/>
    <w:rsid w:val="00FD08EC"/>
    <w:rsid w:val="00FD7690"/>
    <w:rsid w:val="013041A3"/>
    <w:rsid w:val="01B35B00"/>
    <w:rsid w:val="04FF1319"/>
    <w:rsid w:val="050E5043"/>
    <w:rsid w:val="0589580D"/>
    <w:rsid w:val="061506F1"/>
    <w:rsid w:val="08BB18FE"/>
    <w:rsid w:val="0C826D5D"/>
    <w:rsid w:val="0CD60BD1"/>
    <w:rsid w:val="0DB1487E"/>
    <w:rsid w:val="0EC42785"/>
    <w:rsid w:val="117C2D7C"/>
    <w:rsid w:val="13071678"/>
    <w:rsid w:val="14B7565C"/>
    <w:rsid w:val="14E14CCE"/>
    <w:rsid w:val="156A3A0B"/>
    <w:rsid w:val="15E14D35"/>
    <w:rsid w:val="18320989"/>
    <w:rsid w:val="18471714"/>
    <w:rsid w:val="1AF012F9"/>
    <w:rsid w:val="1C6A1F2E"/>
    <w:rsid w:val="1FF30AA3"/>
    <w:rsid w:val="213371FD"/>
    <w:rsid w:val="21ED3F31"/>
    <w:rsid w:val="222A3909"/>
    <w:rsid w:val="22515440"/>
    <w:rsid w:val="24CE4D60"/>
    <w:rsid w:val="256B454B"/>
    <w:rsid w:val="289931B8"/>
    <w:rsid w:val="2CC814FB"/>
    <w:rsid w:val="2DA27727"/>
    <w:rsid w:val="2DD30761"/>
    <w:rsid w:val="2FF81C41"/>
    <w:rsid w:val="3061517C"/>
    <w:rsid w:val="30BB695B"/>
    <w:rsid w:val="351B49EC"/>
    <w:rsid w:val="376844B7"/>
    <w:rsid w:val="3A965E91"/>
    <w:rsid w:val="3FA25739"/>
    <w:rsid w:val="43BB3A10"/>
    <w:rsid w:val="44EF3477"/>
    <w:rsid w:val="453B5DF2"/>
    <w:rsid w:val="458753FB"/>
    <w:rsid w:val="46E1642D"/>
    <w:rsid w:val="47950B82"/>
    <w:rsid w:val="4ACB69F0"/>
    <w:rsid w:val="520A3DD3"/>
    <w:rsid w:val="52363589"/>
    <w:rsid w:val="52E61FBD"/>
    <w:rsid w:val="5373089A"/>
    <w:rsid w:val="55EC2E30"/>
    <w:rsid w:val="5FA62DEC"/>
    <w:rsid w:val="5FEC36F0"/>
    <w:rsid w:val="628B0021"/>
    <w:rsid w:val="667573C4"/>
    <w:rsid w:val="675F2D2F"/>
    <w:rsid w:val="68786EC7"/>
    <w:rsid w:val="68D579F9"/>
    <w:rsid w:val="69465EA5"/>
    <w:rsid w:val="6A255E69"/>
    <w:rsid w:val="6BC736E2"/>
    <w:rsid w:val="6C1B5EFA"/>
    <w:rsid w:val="6CD90537"/>
    <w:rsid w:val="6EDB3074"/>
    <w:rsid w:val="71715641"/>
    <w:rsid w:val="717E0567"/>
    <w:rsid w:val="763F6917"/>
    <w:rsid w:val="773C0823"/>
    <w:rsid w:val="7AA74A46"/>
    <w:rsid w:val="7B536D79"/>
    <w:rsid w:val="7E36078B"/>
    <w:rsid w:val="7E59771F"/>
    <w:rsid w:val="7FA637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8"/>
    <w:qFormat/>
    <w:uiPriority w:val="0"/>
    <w:pPr>
      <w:keepNext/>
      <w:keepLines/>
      <w:spacing w:before="260" w:after="260" w:line="416" w:lineRule="auto"/>
      <w:outlineLvl w:val="2"/>
    </w:pPr>
    <w:rPr>
      <w:b/>
      <w:bCs/>
      <w:sz w:val="32"/>
      <w:szCs w:val="32"/>
    </w:rPr>
  </w:style>
  <w:style w:type="paragraph" w:styleId="6">
    <w:name w:val="heading 4"/>
    <w:basedOn w:val="1"/>
    <w:next w:val="1"/>
    <w:link w:val="23"/>
    <w:qFormat/>
    <w:uiPriority w:val="0"/>
    <w:pPr>
      <w:keepNext/>
      <w:keepLines/>
      <w:spacing w:before="280" w:after="290" w:line="376" w:lineRule="auto"/>
      <w:outlineLvl w:val="3"/>
    </w:pPr>
    <w:rPr>
      <w:rFonts w:ascii="Cambria" w:hAnsi="Cambria"/>
      <w:b/>
      <w:bCs/>
      <w:sz w:val="28"/>
      <w:szCs w:val="28"/>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unhideWhenUsed/>
    <w:qFormat/>
    <w:uiPriority w:val="1"/>
    <w:pPr>
      <w:spacing w:after="120"/>
    </w:pPr>
  </w:style>
  <w:style w:type="paragraph" w:styleId="7">
    <w:name w:val="toc 7"/>
    <w:basedOn w:val="1"/>
    <w:next w:val="1"/>
    <w:qFormat/>
    <w:uiPriority w:val="0"/>
    <w:pPr>
      <w:ind w:left="1260"/>
      <w:jc w:val="left"/>
    </w:pPr>
    <w:rPr>
      <w:sz w:val="20"/>
      <w:szCs w:val="20"/>
    </w:rPr>
  </w:style>
  <w:style w:type="paragraph" w:styleId="8">
    <w:name w:val="Document Map"/>
    <w:basedOn w:val="1"/>
    <w:qFormat/>
    <w:uiPriority w:val="0"/>
    <w:pPr>
      <w:shd w:val="clear" w:color="auto" w:fill="000080"/>
    </w:pPr>
  </w:style>
  <w:style w:type="paragraph" w:styleId="9">
    <w:name w:val="toc 5"/>
    <w:basedOn w:val="1"/>
    <w:next w:val="1"/>
    <w:qFormat/>
    <w:uiPriority w:val="0"/>
    <w:pPr>
      <w:ind w:left="840"/>
      <w:jc w:val="left"/>
    </w:pPr>
    <w:rPr>
      <w:sz w:val="20"/>
      <w:szCs w:val="20"/>
    </w:rPr>
  </w:style>
  <w:style w:type="paragraph" w:styleId="10">
    <w:name w:val="toc 3"/>
    <w:basedOn w:val="1"/>
    <w:next w:val="1"/>
    <w:qFormat/>
    <w:uiPriority w:val="0"/>
    <w:pPr>
      <w:adjustRightInd w:val="0"/>
      <w:snapToGrid w:val="0"/>
      <w:spacing w:line="360" w:lineRule="auto"/>
      <w:ind w:firstLine="400" w:firstLineChars="400"/>
      <w:jc w:val="left"/>
    </w:pPr>
    <w:rPr>
      <w:sz w:val="24"/>
      <w:szCs w:val="20"/>
    </w:rPr>
  </w:style>
  <w:style w:type="paragraph" w:styleId="11">
    <w:name w:val="toc 8"/>
    <w:basedOn w:val="1"/>
    <w:next w:val="1"/>
    <w:qFormat/>
    <w:uiPriority w:val="0"/>
    <w:pPr>
      <w:ind w:left="1470"/>
      <w:jc w:val="left"/>
    </w:pPr>
    <w:rPr>
      <w:sz w:val="20"/>
      <w:szCs w:val="20"/>
    </w:rPr>
  </w:style>
  <w:style w:type="paragraph" w:styleId="12">
    <w:name w:val="footer"/>
    <w:basedOn w:val="1"/>
    <w:link w:val="26"/>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pPr>
      <w:adjustRightInd w:val="0"/>
      <w:snapToGrid w:val="0"/>
      <w:spacing w:line="360" w:lineRule="auto"/>
      <w:jc w:val="left"/>
    </w:pPr>
    <w:rPr>
      <w:b/>
      <w:bCs/>
      <w:sz w:val="24"/>
      <w:szCs w:val="20"/>
    </w:rPr>
  </w:style>
  <w:style w:type="paragraph" w:styleId="15">
    <w:name w:val="toc 4"/>
    <w:basedOn w:val="1"/>
    <w:next w:val="1"/>
    <w:qFormat/>
    <w:uiPriority w:val="0"/>
    <w:pPr>
      <w:ind w:left="630"/>
      <w:jc w:val="left"/>
    </w:pPr>
    <w:rPr>
      <w:sz w:val="20"/>
      <w:szCs w:val="20"/>
    </w:rPr>
  </w:style>
  <w:style w:type="paragraph" w:styleId="16">
    <w:name w:val="toc 6"/>
    <w:basedOn w:val="1"/>
    <w:next w:val="1"/>
    <w:qFormat/>
    <w:uiPriority w:val="0"/>
    <w:pPr>
      <w:ind w:left="1050"/>
      <w:jc w:val="left"/>
    </w:pPr>
    <w:rPr>
      <w:sz w:val="20"/>
      <w:szCs w:val="20"/>
    </w:rPr>
  </w:style>
  <w:style w:type="paragraph" w:styleId="17">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8">
    <w:name w:val="toc 9"/>
    <w:basedOn w:val="1"/>
    <w:next w:val="1"/>
    <w:qFormat/>
    <w:uiPriority w:val="0"/>
    <w:pPr>
      <w:ind w:left="1680"/>
      <w:jc w:val="left"/>
    </w:pPr>
    <w:rPr>
      <w:sz w:val="20"/>
      <w:szCs w:val="20"/>
    </w:rPr>
  </w:style>
  <w:style w:type="character" w:styleId="21">
    <w:name w:val="page number"/>
    <w:basedOn w:val="20"/>
    <w:qFormat/>
    <w:uiPriority w:val="0"/>
  </w:style>
  <w:style w:type="character" w:styleId="22">
    <w:name w:val="Hyperlink"/>
    <w:basedOn w:val="20"/>
    <w:qFormat/>
    <w:uiPriority w:val="0"/>
    <w:rPr>
      <w:color w:val="0000FF"/>
      <w:u w:val="single"/>
    </w:rPr>
  </w:style>
  <w:style w:type="character" w:customStyle="1" w:styleId="23">
    <w:name w:val="标题 4 字符"/>
    <w:basedOn w:val="20"/>
    <w:link w:val="6"/>
    <w:qFormat/>
    <w:uiPriority w:val="0"/>
    <w:rPr>
      <w:rFonts w:ascii="Cambria" w:hAnsi="Cambria"/>
      <w:b/>
      <w:bCs/>
      <w:kern w:val="2"/>
      <w:sz w:val="28"/>
      <w:szCs w:val="28"/>
    </w:rPr>
  </w:style>
  <w:style w:type="paragraph" w:styleId="24">
    <w:name w:val="No Spacing"/>
    <w:link w:val="25"/>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5">
    <w:name w:val="无间隔 字符"/>
    <w:link w:val="24"/>
    <w:qFormat/>
    <w:locked/>
    <w:uiPriority w:val="0"/>
    <w:rPr>
      <w:rFonts w:eastAsia="仿宋_GB2312"/>
      <w:sz w:val="30"/>
      <w:szCs w:val="22"/>
      <w:lang w:bidi="ar-SA"/>
    </w:rPr>
  </w:style>
  <w:style w:type="character" w:customStyle="1" w:styleId="26">
    <w:name w:val="页脚 字符"/>
    <w:basedOn w:val="20"/>
    <w:link w:val="12"/>
    <w:qFormat/>
    <w:uiPriority w:val="0"/>
    <w:rPr>
      <w:kern w:val="2"/>
      <w:sz w:val="18"/>
      <w:szCs w:val="18"/>
    </w:rPr>
  </w:style>
  <w:style w:type="paragraph" w:styleId="27">
    <w:name w:val="List Paragraph"/>
    <w:basedOn w:val="1"/>
    <w:qFormat/>
    <w:uiPriority w:val="0"/>
    <w:pPr>
      <w:ind w:firstLine="420" w:firstLineChars="200"/>
    </w:pPr>
  </w:style>
  <w:style w:type="character" w:customStyle="1" w:styleId="28">
    <w:name w:val="标题 3 字符"/>
    <w:basedOn w:val="20"/>
    <w:link w:val="5"/>
    <w:qFormat/>
    <w:uiPriority w:val="0"/>
    <w:rPr>
      <w:b/>
      <w:bCs/>
      <w:kern w:val="2"/>
      <w:sz w:val="32"/>
      <w:szCs w:val="32"/>
    </w:rPr>
  </w:style>
  <w:style w:type="character" w:customStyle="1" w:styleId="29">
    <w:name w:val="font11"/>
    <w:basedOn w:val="20"/>
    <w:qFormat/>
    <w:uiPriority w:val="0"/>
    <w:rPr>
      <w:rFonts w:ascii="宋体" w:hAnsi="宋体" w:eastAsia="宋体" w:cs="宋体"/>
      <w:b/>
      <w:color w:val="000000"/>
      <w:sz w:val="24"/>
      <w:szCs w:val="24"/>
      <w:u w:val="none"/>
    </w:rPr>
  </w:style>
  <w:style w:type="character" w:customStyle="1" w:styleId="30">
    <w:name w:val="font81"/>
    <w:basedOn w:val="20"/>
    <w:qFormat/>
    <w:uiPriority w:val="0"/>
    <w:rPr>
      <w:rFonts w:ascii="宋体" w:hAnsi="宋体" w:eastAsia="宋体" w:cs="宋体"/>
      <w:color w:val="000000"/>
      <w:sz w:val="24"/>
      <w:szCs w:val="24"/>
      <w:u w:val="none"/>
    </w:rPr>
  </w:style>
  <w:style w:type="character" w:customStyle="1" w:styleId="31">
    <w:name w:val="font31"/>
    <w:basedOn w:val="20"/>
    <w:qFormat/>
    <w:uiPriority w:val="0"/>
    <w:rPr>
      <w:rFonts w:ascii="宋体" w:hAnsi="宋体" w:eastAsia="宋体" w:cs="宋体"/>
      <w:color w:val="000000"/>
      <w:sz w:val="18"/>
      <w:szCs w:val="18"/>
      <w:u w:val="none"/>
    </w:rPr>
  </w:style>
  <w:style w:type="character" w:customStyle="1" w:styleId="32">
    <w:name w:val="font51"/>
    <w:basedOn w:val="20"/>
    <w:qFormat/>
    <w:uiPriority w:val="0"/>
    <w:rPr>
      <w:rFonts w:hint="eastAsia" w:ascii="宋体" w:hAnsi="宋体" w:eastAsia="宋体" w:cs="宋体"/>
      <w:color w:val="000000"/>
      <w:sz w:val="22"/>
      <w:szCs w:val="22"/>
      <w:u w:val="none"/>
    </w:rPr>
  </w:style>
  <w:style w:type="character" w:customStyle="1" w:styleId="33">
    <w:name w:val="font41"/>
    <w:basedOn w:val="20"/>
    <w:qFormat/>
    <w:uiPriority w:val="0"/>
    <w:rPr>
      <w:rFonts w:hint="default" w:ascii="Arial" w:hAnsi="Arial" w:cs="Arial"/>
      <w:color w:val="000000"/>
      <w:sz w:val="22"/>
      <w:szCs w:val="22"/>
      <w:u w:val="none"/>
    </w:rPr>
  </w:style>
  <w:style w:type="character" w:customStyle="1" w:styleId="34">
    <w:name w:val="font01"/>
    <w:basedOn w:val="20"/>
    <w:qFormat/>
    <w:uiPriority w:val="0"/>
    <w:rPr>
      <w:rFonts w:ascii="宋体" w:hAnsi="宋体" w:eastAsia="宋体" w:cs="宋体"/>
      <w:color w:val="000000"/>
      <w:sz w:val="18"/>
      <w:szCs w:val="18"/>
      <w:u w:val="none"/>
    </w:rPr>
  </w:style>
  <w:style w:type="character" w:customStyle="1" w:styleId="35">
    <w:name w:val="font71"/>
    <w:basedOn w:val="20"/>
    <w:qFormat/>
    <w:uiPriority w:val="0"/>
    <w:rPr>
      <w:rFonts w:hint="default" w:ascii="Arial" w:hAnsi="Arial" w:cs="Arial"/>
      <w:color w:val="000000"/>
      <w:sz w:val="22"/>
      <w:szCs w:val="22"/>
      <w:u w:val="none"/>
    </w:rPr>
  </w:style>
  <w:style w:type="character" w:customStyle="1" w:styleId="36">
    <w:name w:val="font61"/>
    <w:basedOn w:val="20"/>
    <w:qFormat/>
    <w:uiPriority w:val="0"/>
    <w:rPr>
      <w:rFonts w:hint="default" w:ascii="Arial" w:hAnsi="Arial" w:cs="Arial"/>
      <w:color w:val="000000"/>
      <w:sz w:val="22"/>
      <w:szCs w:val="22"/>
      <w:u w:val="none"/>
    </w:rPr>
  </w:style>
  <w:style w:type="character" w:customStyle="1" w:styleId="37">
    <w:name w:val="font21"/>
    <w:basedOn w:val="20"/>
    <w:qFormat/>
    <w:uiPriority w:val="0"/>
    <w:rPr>
      <w:rFonts w:ascii="宋体" w:hAnsi="宋体" w:eastAsia="宋体" w:cs="宋体"/>
      <w:b/>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chart" Target="charts/chart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Desktop\&#24352;&#23439;&#25996;\&#20250;&#35745;\&#21382;&#24180;&#20915;&#31639;\2024&#24180;&#20915;&#31639;\&#20844;&#24320;\&#37122;&#23572;&#22810;&#26031;&#31354;&#28207;&#29289;&#27969;&#22253;&#21306;&#20225;&#19994;&#21457;&#23637;&#26381;&#21153;&#20013;&#24515;\&#39292;&#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0301227463022029"/>
                  <c:y val="-0.24240099030312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基本支出</a:t>
                    </a:r>
                  </a:p>
                  <a:p>
                    <a:pPr defTabSz="914400">
                      <a:defRPr lang="zh-CN" sz="900" b="0" i="0" u="none" strike="noStrike" kern="1200" baseline="0">
                        <a:solidFill>
                          <a:schemeClr val="tx1">
                            <a:lumMod val="75000"/>
                            <a:lumOff val="25000"/>
                          </a:schemeClr>
                        </a:solidFill>
                        <a:latin typeface="+mn-lt"/>
                        <a:ea typeface="+mn-ea"/>
                        <a:cs typeface="+mn-cs"/>
                      </a:defRPr>
                    </a:pPr>
                    <a:r>
                      <a:rPr lang="en-US" altLang="zh-CN"/>
                      <a:t>96.88</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127419533237474"/>
                      <c:h val="0.229445889177836"/>
                    </c:manualLayout>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项目支出</a:t>
                    </a:r>
                  </a:p>
                  <a:p>
                    <a:pPr defTabSz="914400">
                      <a:defRPr lang="zh-CN" sz="900" b="0" i="0" u="none" strike="noStrike" kern="1200" baseline="0">
                        <a:solidFill>
                          <a:schemeClr val="tx1">
                            <a:lumMod val="75000"/>
                            <a:lumOff val="25000"/>
                          </a:schemeClr>
                        </a:solidFill>
                        <a:latin typeface="+mn-lt"/>
                        <a:ea typeface="+mn-ea"/>
                        <a:cs typeface="+mn-cs"/>
                      </a:defRPr>
                    </a:pPr>
                    <a:r>
                      <a:rPr lang="en-US" altLang="zh-CN"/>
                      <a:t>3.12</a:t>
                    </a:r>
                    <a:r>
                      <a:t>%</a:t>
                    </a:r>
                  </a:p>
                </c:rich>
              </c:tx>
              <c:dLblPos val="inEnd"/>
              <c:showLegendKey val="0"/>
              <c:showVal val="0"/>
              <c:showCatName val="1"/>
              <c:showSerName val="0"/>
              <c:showPercent val="1"/>
              <c:showBubbleSize val="0"/>
              <c:separator>
</c:separator>
              <c:extLst>
                <c:ext xmlns:c15="http://schemas.microsoft.com/office/drawing/2012/chart" uri="{CE6537A1-D6FC-4f65-9D91-7224C49458BB}">
                  <c15:layout>
                    <c:manualLayout>
                      <c:w val="0.126534675367769"/>
                      <c:h val="0.174034806961392"/>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[饼图.xlsx]Sheet2!$A$31:$A$32</c:f>
              <c:strCache>
                <c:ptCount val="2"/>
                <c:pt idx="0">
                  <c:v>基本支出</c:v>
                </c:pt>
                <c:pt idx="1">
                  <c:v>项目支出</c:v>
                </c:pt>
              </c:strCache>
            </c:strRef>
          </c:cat>
          <c:val>
            <c:numRef>
              <c:f>[饼图.xlsx]Sheet2!$B$31:$B$32</c:f>
              <c:numCache>
                <c:formatCode>0.00%</c:formatCode>
                <c:ptCount val="2"/>
                <c:pt idx="0">
                  <c:v>0.9688</c:v>
                </c:pt>
                <c:pt idx="1">
                  <c:v>0.0312</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29</Pages>
  <Words>12453</Words>
  <Characters>13860</Characters>
  <Lines>1</Lines>
  <Paragraphs>1</Paragraphs>
  <TotalTime>0</TotalTime>
  <ScaleCrop>false</ScaleCrop>
  <LinksUpToDate>false</LinksUpToDate>
  <CharactersWithSpaces>14482</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张宏斌</cp:lastModifiedBy>
  <cp:lastPrinted>2021-04-16T00:45:00Z</cp:lastPrinted>
  <dcterms:modified xsi:type="dcterms:W3CDTF">2025-09-19T04:27:13Z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y fmtid="{D5CDD505-2E9C-101B-9397-08002B2CF9AE}" pid="3" name="ICV">
    <vt:lpwstr>AF04E6D3284F47229321E8B808C9C605</vt:lpwstr>
  </property>
</Properties>
</file>